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97" w:rsidRPr="008B0B0A" w:rsidRDefault="002F0397" w:rsidP="002F0397">
      <w:pPr>
        <w:pStyle w:val="FR1"/>
        <w:tabs>
          <w:tab w:val="left" w:pos="5420"/>
        </w:tabs>
        <w:spacing w:before="0"/>
        <w:ind w:left="0" w:right="0"/>
        <w:jc w:val="right"/>
        <w:rPr>
          <w:b w:val="0"/>
          <w:sz w:val="26"/>
          <w:szCs w:val="26"/>
        </w:rPr>
      </w:pPr>
    </w:p>
    <w:p w:rsidR="002F0397" w:rsidRPr="002F0397" w:rsidRDefault="002F0397" w:rsidP="002F0397">
      <w:pPr>
        <w:pStyle w:val="FR1"/>
        <w:tabs>
          <w:tab w:val="left" w:pos="5420"/>
        </w:tabs>
        <w:spacing w:before="0"/>
        <w:ind w:left="0" w:right="0"/>
        <w:rPr>
          <w:sz w:val="32"/>
          <w:szCs w:val="32"/>
        </w:rPr>
      </w:pPr>
      <w:r w:rsidRPr="002F0397">
        <w:rPr>
          <w:sz w:val="32"/>
          <w:szCs w:val="32"/>
        </w:rPr>
        <w:t>Правительство Российской Федерации</w:t>
      </w:r>
    </w:p>
    <w:p w:rsidR="002F0397" w:rsidRPr="008B0B0A" w:rsidRDefault="002F0397" w:rsidP="002F0397">
      <w:pPr>
        <w:pStyle w:val="FR1"/>
        <w:tabs>
          <w:tab w:val="left" w:pos="5420"/>
        </w:tabs>
        <w:spacing w:before="0"/>
        <w:ind w:left="0" w:right="0"/>
        <w:rPr>
          <w:sz w:val="26"/>
          <w:szCs w:val="26"/>
        </w:rPr>
      </w:pPr>
    </w:p>
    <w:p w:rsidR="002F0397" w:rsidRDefault="002F0397" w:rsidP="002F0397">
      <w:pPr>
        <w:spacing w:line="240" w:lineRule="auto"/>
        <w:jc w:val="center"/>
        <w:rPr>
          <w:b/>
          <w:sz w:val="28"/>
          <w:szCs w:val="28"/>
        </w:rPr>
      </w:pPr>
      <w:r w:rsidRPr="002F0397">
        <w:rPr>
          <w:b/>
          <w:sz w:val="28"/>
          <w:szCs w:val="28"/>
        </w:rPr>
        <w:t xml:space="preserve">Федеральное государственное автономное образовательное учреждение высшего профессионального образования </w:t>
      </w:r>
    </w:p>
    <w:p w:rsidR="002F0397" w:rsidRDefault="002F0397" w:rsidP="002F0397">
      <w:pPr>
        <w:spacing w:after="0" w:line="240" w:lineRule="auto"/>
        <w:jc w:val="center"/>
        <w:rPr>
          <w:b/>
          <w:sz w:val="28"/>
          <w:szCs w:val="28"/>
        </w:rPr>
      </w:pPr>
      <w:r w:rsidRPr="002F0397">
        <w:rPr>
          <w:b/>
          <w:sz w:val="28"/>
          <w:szCs w:val="28"/>
        </w:rPr>
        <w:t xml:space="preserve">«Национальный исследовательский университет </w:t>
      </w:r>
    </w:p>
    <w:p w:rsidR="002F0397" w:rsidRPr="002F0397" w:rsidRDefault="002F0397" w:rsidP="002F0397">
      <w:pPr>
        <w:spacing w:after="0" w:line="240" w:lineRule="auto"/>
        <w:jc w:val="center"/>
        <w:rPr>
          <w:b/>
          <w:sz w:val="28"/>
          <w:szCs w:val="28"/>
        </w:rPr>
      </w:pPr>
      <w:r w:rsidRPr="002F0397">
        <w:rPr>
          <w:b/>
          <w:sz w:val="28"/>
          <w:szCs w:val="28"/>
        </w:rPr>
        <w:t>«Высшая школа экономики»</w:t>
      </w:r>
    </w:p>
    <w:p w:rsidR="002F0397" w:rsidRPr="008B0B0A" w:rsidRDefault="002F0397" w:rsidP="002F0397">
      <w:pPr>
        <w:rPr>
          <w:sz w:val="26"/>
          <w:szCs w:val="26"/>
        </w:rPr>
      </w:pPr>
    </w:p>
    <w:p w:rsidR="006D7FDF" w:rsidRPr="006D7FDF" w:rsidRDefault="006D7FDF" w:rsidP="006D7FDF">
      <w:pPr>
        <w:pStyle w:val="6"/>
        <w:keepNext w:val="0"/>
        <w:keepLines w:val="0"/>
        <w:spacing w:before="240" w:after="60" w:line="240" w:lineRule="auto"/>
        <w:jc w:val="center"/>
        <w:rPr>
          <w:rFonts w:ascii="Times New Roman" w:eastAsia="Times New Roman" w:hAnsi="Times New Roman" w:cs="Times New Roman"/>
          <w:b/>
          <w:bCs/>
          <w:i w:val="0"/>
          <w:iCs w:val="0"/>
          <w:color w:val="auto"/>
          <w:sz w:val="28"/>
          <w:szCs w:val="28"/>
        </w:rPr>
      </w:pPr>
      <w:r w:rsidRPr="006D7FDF">
        <w:rPr>
          <w:rFonts w:ascii="Times New Roman" w:eastAsia="Times New Roman" w:hAnsi="Times New Roman" w:cs="Times New Roman"/>
          <w:b/>
          <w:bCs/>
          <w:i w:val="0"/>
          <w:iCs w:val="0"/>
          <w:color w:val="auto"/>
          <w:sz w:val="28"/>
          <w:szCs w:val="28"/>
        </w:rPr>
        <w:t>Факультет  государственного и муниципального управления</w:t>
      </w:r>
    </w:p>
    <w:p w:rsidR="002F0397" w:rsidRPr="006D7FDF" w:rsidRDefault="006D7FDF" w:rsidP="006D7FDF">
      <w:pPr>
        <w:pStyle w:val="6"/>
        <w:keepNext w:val="0"/>
        <w:keepLines w:val="0"/>
        <w:spacing w:before="240" w:after="60" w:line="240" w:lineRule="auto"/>
        <w:jc w:val="center"/>
        <w:rPr>
          <w:rFonts w:ascii="Times New Roman" w:eastAsia="Times New Roman" w:hAnsi="Times New Roman" w:cs="Times New Roman"/>
          <w:b/>
          <w:bCs/>
          <w:i w:val="0"/>
          <w:iCs w:val="0"/>
          <w:color w:val="auto"/>
          <w:sz w:val="28"/>
          <w:szCs w:val="28"/>
        </w:rPr>
      </w:pPr>
      <w:r w:rsidRPr="006D7FDF">
        <w:rPr>
          <w:rFonts w:ascii="Times New Roman" w:eastAsia="Times New Roman" w:hAnsi="Times New Roman" w:cs="Times New Roman"/>
          <w:b/>
          <w:bCs/>
          <w:i w:val="0"/>
          <w:iCs w:val="0"/>
          <w:color w:val="auto"/>
          <w:sz w:val="28"/>
          <w:szCs w:val="28"/>
        </w:rPr>
        <w:t xml:space="preserve">Кафедра </w:t>
      </w:r>
      <w:r w:rsidR="002F0397" w:rsidRPr="006D7FDF">
        <w:rPr>
          <w:rFonts w:ascii="Times New Roman" w:eastAsia="Times New Roman" w:hAnsi="Times New Roman" w:cs="Times New Roman"/>
          <w:b/>
          <w:bCs/>
          <w:i w:val="0"/>
          <w:iCs w:val="0"/>
          <w:color w:val="auto"/>
          <w:sz w:val="28"/>
          <w:szCs w:val="28"/>
        </w:rPr>
        <w:t>финансового менеджмента в государственном секторе</w:t>
      </w:r>
    </w:p>
    <w:p w:rsidR="00FF01F7" w:rsidRDefault="00FF01F7" w:rsidP="002F0397">
      <w:pPr>
        <w:pStyle w:val="6"/>
        <w:jc w:val="center"/>
        <w:rPr>
          <w:sz w:val="26"/>
          <w:szCs w:val="26"/>
        </w:rPr>
      </w:pPr>
    </w:p>
    <w:p w:rsidR="002F0397" w:rsidRPr="006D7FDF" w:rsidRDefault="002F0397" w:rsidP="006D7FDF">
      <w:pPr>
        <w:pStyle w:val="6"/>
        <w:keepNext w:val="0"/>
        <w:keepLines w:val="0"/>
        <w:spacing w:before="240" w:after="60" w:line="240" w:lineRule="auto"/>
        <w:jc w:val="center"/>
        <w:rPr>
          <w:b/>
          <w:bCs/>
          <w:sz w:val="26"/>
          <w:szCs w:val="26"/>
        </w:rPr>
      </w:pPr>
      <w:r w:rsidRPr="006D7FDF">
        <w:rPr>
          <w:rFonts w:ascii="Times New Roman" w:eastAsia="Times New Roman" w:hAnsi="Times New Roman" w:cs="Times New Roman"/>
          <w:b/>
          <w:bCs/>
          <w:i w:val="0"/>
          <w:iCs w:val="0"/>
          <w:color w:val="auto"/>
          <w:sz w:val="28"/>
          <w:szCs w:val="28"/>
        </w:rPr>
        <w:t>ВЫПУСКНАЯ КВАЛИФИКАЦИОННАЯ РАБОТА</w:t>
      </w:r>
    </w:p>
    <w:p w:rsidR="002F0397" w:rsidRPr="008B0B0A" w:rsidRDefault="002F0397" w:rsidP="002F0397">
      <w:pPr>
        <w:autoSpaceDE w:val="0"/>
        <w:autoSpaceDN w:val="0"/>
        <w:adjustRightInd w:val="0"/>
        <w:jc w:val="center"/>
        <w:rPr>
          <w:b/>
          <w:bCs/>
          <w:sz w:val="26"/>
          <w:szCs w:val="26"/>
        </w:rPr>
      </w:pPr>
    </w:p>
    <w:p w:rsidR="002F0397" w:rsidRPr="006D7FDF" w:rsidRDefault="002F0397" w:rsidP="00FF01F7">
      <w:pPr>
        <w:pStyle w:val="22"/>
        <w:spacing w:after="0"/>
        <w:jc w:val="center"/>
        <w:rPr>
          <w:rFonts w:ascii="Times New Roman" w:hAnsi="Times New Roman"/>
          <w:sz w:val="28"/>
          <w:szCs w:val="28"/>
        </w:rPr>
      </w:pPr>
      <w:r w:rsidRPr="006D7FDF">
        <w:rPr>
          <w:rFonts w:ascii="Times New Roman" w:hAnsi="Times New Roman"/>
          <w:sz w:val="28"/>
          <w:szCs w:val="28"/>
        </w:rPr>
        <w:t xml:space="preserve">На тему: </w:t>
      </w:r>
    </w:p>
    <w:p w:rsidR="002F0397" w:rsidRPr="006D7FDF" w:rsidRDefault="002F0397" w:rsidP="00FF01F7">
      <w:pPr>
        <w:pStyle w:val="22"/>
        <w:spacing w:after="0" w:line="276" w:lineRule="auto"/>
        <w:jc w:val="center"/>
        <w:rPr>
          <w:rFonts w:ascii="Times New Roman" w:hAnsi="Times New Roman"/>
          <w:b/>
          <w:bCs/>
          <w:snapToGrid/>
          <w:sz w:val="30"/>
          <w:szCs w:val="30"/>
        </w:rPr>
      </w:pPr>
      <w:r w:rsidRPr="006D7FDF">
        <w:rPr>
          <w:rFonts w:ascii="Times New Roman" w:hAnsi="Times New Roman"/>
          <w:b/>
          <w:bCs/>
          <w:snapToGrid/>
          <w:sz w:val="30"/>
          <w:szCs w:val="30"/>
        </w:rPr>
        <w:t>«Роль нефтегазовых доходов федерального бюджета в новых бюджетных правилах»</w:t>
      </w:r>
    </w:p>
    <w:p w:rsidR="002F0397" w:rsidRPr="008B0B0A" w:rsidRDefault="002F0397" w:rsidP="002F0397">
      <w:pPr>
        <w:autoSpaceDE w:val="0"/>
        <w:autoSpaceDN w:val="0"/>
        <w:adjustRightInd w:val="0"/>
        <w:spacing w:before="35"/>
        <w:jc w:val="both"/>
        <w:rPr>
          <w:sz w:val="26"/>
          <w:szCs w:val="26"/>
        </w:rPr>
      </w:pPr>
    </w:p>
    <w:p w:rsidR="002F0397" w:rsidRPr="008B0B0A" w:rsidRDefault="002F0397" w:rsidP="002F0397">
      <w:pPr>
        <w:autoSpaceDE w:val="0"/>
        <w:autoSpaceDN w:val="0"/>
        <w:adjustRightInd w:val="0"/>
        <w:spacing w:before="35"/>
        <w:ind w:left="6300"/>
        <w:jc w:val="both"/>
        <w:rPr>
          <w:sz w:val="26"/>
          <w:szCs w:val="26"/>
        </w:rPr>
      </w:pPr>
    </w:p>
    <w:p w:rsidR="002F0397" w:rsidRDefault="00BE2B96" w:rsidP="002F0397">
      <w:pPr>
        <w:tabs>
          <w:tab w:val="left" w:pos="8820"/>
        </w:tabs>
        <w:spacing w:after="0" w:line="360" w:lineRule="auto"/>
        <w:ind w:left="4956" w:right="816"/>
        <w:rPr>
          <w:sz w:val="26"/>
          <w:szCs w:val="26"/>
        </w:rPr>
      </w:pPr>
      <w:r>
        <w:rPr>
          <w:sz w:val="26"/>
          <w:szCs w:val="26"/>
        </w:rPr>
        <w:t>Студент</w:t>
      </w:r>
      <w:r w:rsidR="002F0397" w:rsidRPr="002F6F04">
        <w:rPr>
          <w:sz w:val="26"/>
          <w:szCs w:val="26"/>
        </w:rPr>
        <w:t xml:space="preserve"> группы № </w:t>
      </w:r>
      <w:r w:rsidR="002F0397">
        <w:rPr>
          <w:sz w:val="26"/>
          <w:szCs w:val="26"/>
        </w:rPr>
        <w:t>59ФТУ</w:t>
      </w:r>
    </w:p>
    <w:p w:rsidR="002F0397" w:rsidRPr="002F6F04" w:rsidRDefault="002F0397" w:rsidP="002F0397">
      <w:pPr>
        <w:tabs>
          <w:tab w:val="left" w:pos="8820"/>
        </w:tabs>
        <w:spacing w:after="0" w:line="360" w:lineRule="auto"/>
        <w:ind w:left="4956" w:right="816"/>
        <w:rPr>
          <w:sz w:val="26"/>
          <w:szCs w:val="26"/>
        </w:rPr>
      </w:pPr>
      <w:r>
        <w:rPr>
          <w:sz w:val="26"/>
          <w:szCs w:val="26"/>
        </w:rPr>
        <w:t>Иванова Ксения Викторовна</w:t>
      </w:r>
    </w:p>
    <w:p w:rsidR="002F0397" w:rsidRPr="002F6F04" w:rsidRDefault="002F0397" w:rsidP="002F0397">
      <w:pPr>
        <w:tabs>
          <w:tab w:val="left" w:pos="8820"/>
        </w:tabs>
        <w:ind w:left="4956" w:right="818"/>
        <w:rPr>
          <w:sz w:val="26"/>
          <w:szCs w:val="26"/>
        </w:rPr>
      </w:pPr>
    </w:p>
    <w:p w:rsidR="002F0397" w:rsidRDefault="002F0397" w:rsidP="002F0397">
      <w:pPr>
        <w:tabs>
          <w:tab w:val="left" w:pos="8820"/>
        </w:tabs>
        <w:spacing w:after="0" w:line="360" w:lineRule="auto"/>
        <w:ind w:left="4956" w:right="816"/>
        <w:rPr>
          <w:sz w:val="26"/>
          <w:szCs w:val="26"/>
        </w:rPr>
      </w:pPr>
      <w:r w:rsidRPr="002F6F04">
        <w:rPr>
          <w:sz w:val="26"/>
          <w:szCs w:val="26"/>
        </w:rPr>
        <w:t>Руководитель ВКР</w:t>
      </w:r>
      <w:r w:rsidR="00FF01F7">
        <w:rPr>
          <w:sz w:val="26"/>
          <w:szCs w:val="26"/>
        </w:rPr>
        <w:t>:</w:t>
      </w:r>
    </w:p>
    <w:p w:rsidR="002F0397" w:rsidRDefault="00484FC4" w:rsidP="002F0397">
      <w:pPr>
        <w:tabs>
          <w:tab w:val="left" w:pos="8820"/>
        </w:tabs>
        <w:spacing w:after="0" w:line="360" w:lineRule="auto"/>
        <w:ind w:left="4956" w:right="816"/>
        <w:rPr>
          <w:sz w:val="26"/>
          <w:szCs w:val="26"/>
        </w:rPr>
      </w:pPr>
      <w:r>
        <w:rPr>
          <w:sz w:val="26"/>
          <w:szCs w:val="26"/>
        </w:rPr>
        <w:t xml:space="preserve">доцент </w:t>
      </w:r>
      <w:r w:rsidR="00FF01F7">
        <w:rPr>
          <w:sz w:val="26"/>
          <w:szCs w:val="26"/>
        </w:rPr>
        <w:t>канд</w:t>
      </w:r>
      <w:r w:rsidR="002F0397">
        <w:rPr>
          <w:sz w:val="26"/>
          <w:szCs w:val="26"/>
        </w:rPr>
        <w:t xml:space="preserve">. </w:t>
      </w:r>
      <w:r w:rsidR="00FF01F7">
        <w:rPr>
          <w:sz w:val="26"/>
          <w:szCs w:val="26"/>
        </w:rPr>
        <w:t>экон</w:t>
      </w:r>
      <w:r w:rsidR="002F0397">
        <w:rPr>
          <w:sz w:val="26"/>
          <w:szCs w:val="26"/>
        </w:rPr>
        <w:t xml:space="preserve">. </w:t>
      </w:r>
      <w:r w:rsidR="00FF01F7">
        <w:rPr>
          <w:sz w:val="26"/>
          <w:szCs w:val="26"/>
        </w:rPr>
        <w:t>наук</w:t>
      </w:r>
    </w:p>
    <w:p w:rsidR="002F0397" w:rsidRPr="002F6F04" w:rsidRDefault="002F0397" w:rsidP="002F0397">
      <w:pPr>
        <w:tabs>
          <w:tab w:val="left" w:pos="8820"/>
        </w:tabs>
        <w:spacing w:after="0" w:line="360" w:lineRule="auto"/>
        <w:ind w:left="4956" w:right="-2"/>
        <w:rPr>
          <w:sz w:val="26"/>
          <w:szCs w:val="26"/>
        </w:rPr>
      </w:pPr>
      <w:r>
        <w:rPr>
          <w:sz w:val="26"/>
          <w:szCs w:val="26"/>
        </w:rPr>
        <w:t>Сергеева Вероника Александровна</w:t>
      </w:r>
    </w:p>
    <w:p w:rsidR="002F0397" w:rsidRDefault="002F0397" w:rsidP="002F0397">
      <w:pPr>
        <w:ind w:left="4956"/>
        <w:jc w:val="both"/>
        <w:rPr>
          <w:sz w:val="26"/>
          <w:szCs w:val="26"/>
        </w:rPr>
      </w:pPr>
    </w:p>
    <w:p w:rsidR="001E4718" w:rsidRDefault="001E4718" w:rsidP="00D55626">
      <w:pPr>
        <w:ind w:left="4956"/>
        <w:jc w:val="both"/>
        <w:rPr>
          <w:sz w:val="26"/>
          <w:szCs w:val="26"/>
        </w:rPr>
      </w:pPr>
      <w:r>
        <w:rPr>
          <w:sz w:val="26"/>
          <w:szCs w:val="26"/>
        </w:rPr>
        <w:t>Рецензент:</w:t>
      </w:r>
    </w:p>
    <w:p w:rsidR="006A790B" w:rsidRPr="002F6F04" w:rsidRDefault="006A790B" w:rsidP="002F0397">
      <w:pPr>
        <w:ind w:left="4956"/>
        <w:jc w:val="both"/>
        <w:rPr>
          <w:sz w:val="26"/>
          <w:szCs w:val="26"/>
        </w:rPr>
      </w:pPr>
      <w:r>
        <w:rPr>
          <w:sz w:val="26"/>
          <w:szCs w:val="26"/>
        </w:rPr>
        <w:t>Бирюков Алексей Геннадьевич</w:t>
      </w:r>
    </w:p>
    <w:p w:rsidR="002F0397" w:rsidRPr="002F6F04" w:rsidRDefault="002F0397" w:rsidP="002F0397">
      <w:pPr>
        <w:ind w:left="4956"/>
        <w:jc w:val="both"/>
        <w:rPr>
          <w:sz w:val="26"/>
          <w:szCs w:val="26"/>
        </w:rPr>
      </w:pPr>
    </w:p>
    <w:p w:rsidR="006D7FDF" w:rsidRPr="002F6F04" w:rsidRDefault="006D7FDF" w:rsidP="002F0397">
      <w:pPr>
        <w:jc w:val="both"/>
        <w:rPr>
          <w:sz w:val="26"/>
          <w:szCs w:val="26"/>
        </w:rPr>
      </w:pPr>
    </w:p>
    <w:p w:rsidR="002F0397" w:rsidRPr="002F0397" w:rsidRDefault="002F0397" w:rsidP="002F0397">
      <w:pPr>
        <w:autoSpaceDE w:val="0"/>
        <w:autoSpaceDN w:val="0"/>
        <w:adjustRightInd w:val="0"/>
        <w:jc w:val="center"/>
        <w:rPr>
          <w:sz w:val="26"/>
          <w:szCs w:val="26"/>
        </w:rPr>
      </w:pPr>
      <w:r>
        <w:rPr>
          <w:sz w:val="26"/>
          <w:szCs w:val="26"/>
        </w:rPr>
        <w:t>Москва</w:t>
      </w:r>
      <w:r w:rsidRPr="002F6F04">
        <w:rPr>
          <w:sz w:val="26"/>
          <w:szCs w:val="26"/>
        </w:rPr>
        <w:t>, 20</w:t>
      </w:r>
      <w:r w:rsidR="00FF01F7">
        <w:rPr>
          <w:sz w:val="26"/>
          <w:szCs w:val="26"/>
        </w:rPr>
        <w:t>13</w:t>
      </w:r>
    </w:p>
    <w:p w:rsidR="006D58A5" w:rsidRDefault="006D58A5" w:rsidP="006D58A5">
      <w:pPr>
        <w:pStyle w:val="1"/>
      </w:pPr>
      <w:bookmarkStart w:id="0" w:name="_Toc356172731"/>
      <w:r>
        <w:lastRenderedPageBreak/>
        <w:t>Содержание</w:t>
      </w:r>
      <w:bookmarkEnd w:id="0"/>
    </w:p>
    <w:p w:rsidR="00AA562D" w:rsidRPr="00AA562D" w:rsidRDefault="00023108">
      <w:pPr>
        <w:pStyle w:val="12"/>
        <w:tabs>
          <w:tab w:val="right" w:leader="dot" w:pos="9060"/>
        </w:tabs>
        <w:rPr>
          <w:rFonts w:asciiTheme="minorHAnsi" w:eastAsiaTheme="minorEastAsia" w:hAnsiTheme="minorHAnsi" w:cstheme="minorBidi"/>
          <w:noProof/>
          <w:sz w:val="28"/>
          <w:szCs w:val="28"/>
          <w:lang w:eastAsia="ru-RU"/>
        </w:rPr>
      </w:pPr>
      <w:r w:rsidRPr="00023108">
        <w:rPr>
          <w:sz w:val="28"/>
          <w:szCs w:val="28"/>
        </w:rPr>
        <w:fldChar w:fldCharType="begin"/>
      </w:r>
      <w:r w:rsidR="006D58A5" w:rsidRPr="00AA562D">
        <w:rPr>
          <w:sz w:val="28"/>
          <w:szCs w:val="28"/>
        </w:rPr>
        <w:instrText xml:space="preserve"> TOC \o "1-3" \h \z \u </w:instrText>
      </w:r>
      <w:r w:rsidRPr="00023108">
        <w:rPr>
          <w:sz w:val="28"/>
          <w:szCs w:val="28"/>
        </w:rPr>
        <w:fldChar w:fldCharType="separate"/>
      </w:r>
      <w:hyperlink w:anchor="_Toc356172732" w:history="1">
        <w:r w:rsidR="00AA562D" w:rsidRPr="00AA562D">
          <w:rPr>
            <w:rStyle w:val="a9"/>
            <w:noProof/>
            <w:sz w:val="28"/>
            <w:szCs w:val="28"/>
          </w:rPr>
          <w:t>Введение</w:t>
        </w:r>
        <w:r w:rsidR="00AA562D" w:rsidRPr="00AA562D">
          <w:rPr>
            <w:noProof/>
            <w:webHidden/>
            <w:sz w:val="28"/>
            <w:szCs w:val="28"/>
          </w:rPr>
          <w:tab/>
        </w:r>
        <w:r w:rsidRPr="00AA562D">
          <w:rPr>
            <w:noProof/>
            <w:webHidden/>
            <w:sz w:val="28"/>
            <w:szCs w:val="28"/>
          </w:rPr>
          <w:fldChar w:fldCharType="begin"/>
        </w:r>
        <w:r w:rsidR="00AA562D" w:rsidRPr="00AA562D">
          <w:rPr>
            <w:noProof/>
            <w:webHidden/>
            <w:sz w:val="28"/>
            <w:szCs w:val="28"/>
          </w:rPr>
          <w:instrText xml:space="preserve"> PAGEREF _Toc356172732 \h </w:instrText>
        </w:r>
        <w:r w:rsidRPr="00AA562D">
          <w:rPr>
            <w:noProof/>
            <w:webHidden/>
            <w:sz w:val="28"/>
            <w:szCs w:val="28"/>
          </w:rPr>
        </w:r>
        <w:r w:rsidRPr="00AA562D">
          <w:rPr>
            <w:noProof/>
            <w:webHidden/>
            <w:sz w:val="28"/>
            <w:szCs w:val="28"/>
          </w:rPr>
          <w:fldChar w:fldCharType="separate"/>
        </w:r>
        <w:r w:rsidR="009D49E2">
          <w:rPr>
            <w:noProof/>
            <w:webHidden/>
            <w:sz w:val="28"/>
            <w:szCs w:val="28"/>
          </w:rPr>
          <w:t>3</w:t>
        </w:r>
        <w:r w:rsidRPr="00AA562D">
          <w:rPr>
            <w:noProof/>
            <w:webHidden/>
            <w:sz w:val="28"/>
            <w:szCs w:val="28"/>
          </w:rPr>
          <w:fldChar w:fldCharType="end"/>
        </w:r>
      </w:hyperlink>
    </w:p>
    <w:p w:rsidR="00AA562D" w:rsidRPr="00AA562D" w:rsidRDefault="00023108">
      <w:pPr>
        <w:pStyle w:val="12"/>
        <w:tabs>
          <w:tab w:val="right" w:leader="dot" w:pos="9060"/>
        </w:tabs>
        <w:rPr>
          <w:rFonts w:asciiTheme="minorHAnsi" w:eastAsiaTheme="minorEastAsia" w:hAnsiTheme="minorHAnsi" w:cstheme="minorBidi"/>
          <w:noProof/>
          <w:sz w:val="28"/>
          <w:szCs w:val="28"/>
          <w:lang w:eastAsia="ru-RU"/>
        </w:rPr>
      </w:pPr>
      <w:hyperlink w:anchor="_Toc356172733" w:history="1">
        <w:r w:rsidR="00AA562D" w:rsidRPr="00AA562D">
          <w:rPr>
            <w:rStyle w:val="a9"/>
            <w:noProof/>
            <w:sz w:val="28"/>
            <w:szCs w:val="28"/>
          </w:rPr>
          <w:t>Глава 1. Теоретические основы управления нефтегазовыми доходами</w:t>
        </w:r>
        <w:r w:rsidR="00AA562D" w:rsidRPr="00AA562D">
          <w:rPr>
            <w:noProof/>
            <w:webHidden/>
            <w:sz w:val="28"/>
            <w:szCs w:val="28"/>
          </w:rPr>
          <w:tab/>
        </w:r>
        <w:r w:rsidRPr="00AA562D">
          <w:rPr>
            <w:noProof/>
            <w:webHidden/>
            <w:sz w:val="28"/>
            <w:szCs w:val="28"/>
          </w:rPr>
          <w:fldChar w:fldCharType="begin"/>
        </w:r>
        <w:r w:rsidR="00AA562D" w:rsidRPr="00AA562D">
          <w:rPr>
            <w:noProof/>
            <w:webHidden/>
            <w:sz w:val="28"/>
            <w:szCs w:val="28"/>
          </w:rPr>
          <w:instrText xml:space="preserve"> PAGEREF _Toc356172733 \h </w:instrText>
        </w:r>
        <w:r w:rsidRPr="00AA562D">
          <w:rPr>
            <w:noProof/>
            <w:webHidden/>
            <w:sz w:val="28"/>
            <w:szCs w:val="28"/>
          </w:rPr>
        </w:r>
        <w:r w:rsidRPr="00AA562D">
          <w:rPr>
            <w:noProof/>
            <w:webHidden/>
            <w:sz w:val="28"/>
            <w:szCs w:val="28"/>
          </w:rPr>
          <w:fldChar w:fldCharType="separate"/>
        </w:r>
        <w:r w:rsidR="009D49E2">
          <w:rPr>
            <w:noProof/>
            <w:webHidden/>
            <w:sz w:val="28"/>
            <w:szCs w:val="28"/>
          </w:rPr>
          <w:t>8</w:t>
        </w:r>
        <w:r w:rsidRPr="00AA562D">
          <w:rPr>
            <w:noProof/>
            <w:webHidden/>
            <w:sz w:val="28"/>
            <w:szCs w:val="28"/>
          </w:rPr>
          <w:fldChar w:fldCharType="end"/>
        </w:r>
      </w:hyperlink>
    </w:p>
    <w:p w:rsidR="00AA562D" w:rsidRPr="00AA562D" w:rsidRDefault="00023108">
      <w:pPr>
        <w:pStyle w:val="24"/>
        <w:tabs>
          <w:tab w:val="right" w:leader="dot" w:pos="9060"/>
        </w:tabs>
        <w:rPr>
          <w:rFonts w:asciiTheme="minorHAnsi" w:eastAsiaTheme="minorEastAsia" w:hAnsiTheme="minorHAnsi" w:cstheme="minorBidi"/>
          <w:noProof/>
          <w:sz w:val="28"/>
          <w:szCs w:val="28"/>
          <w:lang w:eastAsia="ru-RU"/>
        </w:rPr>
      </w:pPr>
      <w:hyperlink w:anchor="_Toc356172734" w:history="1">
        <w:r w:rsidR="00AA562D" w:rsidRPr="00AA562D">
          <w:rPr>
            <w:rStyle w:val="a9"/>
            <w:noProof/>
            <w:sz w:val="28"/>
            <w:szCs w:val="28"/>
          </w:rPr>
          <w:t>1.1 Ресурсное благо или проклятие?</w:t>
        </w:r>
        <w:r w:rsidR="00AA562D" w:rsidRPr="00AA562D">
          <w:rPr>
            <w:noProof/>
            <w:webHidden/>
            <w:sz w:val="28"/>
            <w:szCs w:val="28"/>
          </w:rPr>
          <w:tab/>
        </w:r>
        <w:r w:rsidRPr="00AA562D">
          <w:rPr>
            <w:noProof/>
            <w:webHidden/>
            <w:sz w:val="28"/>
            <w:szCs w:val="28"/>
          </w:rPr>
          <w:fldChar w:fldCharType="begin"/>
        </w:r>
        <w:r w:rsidR="00AA562D" w:rsidRPr="00AA562D">
          <w:rPr>
            <w:noProof/>
            <w:webHidden/>
            <w:sz w:val="28"/>
            <w:szCs w:val="28"/>
          </w:rPr>
          <w:instrText xml:space="preserve"> PAGEREF _Toc356172734 \h </w:instrText>
        </w:r>
        <w:r w:rsidRPr="00AA562D">
          <w:rPr>
            <w:noProof/>
            <w:webHidden/>
            <w:sz w:val="28"/>
            <w:szCs w:val="28"/>
          </w:rPr>
        </w:r>
        <w:r w:rsidRPr="00AA562D">
          <w:rPr>
            <w:noProof/>
            <w:webHidden/>
            <w:sz w:val="28"/>
            <w:szCs w:val="28"/>
          </w:rPr>
          <w:fldChar w:fldCharType="separate"/>
        </w:r>
        <w:r w:rsidR="009D49E2">
          <w:rPr>
            <w:noProof/>
            <w:webHidden/>
            <w:sz w:val="28"/>
            <w:szCs w:val="28"/>
          </w:rPr>
          <w:t>8</w:t>
        </w:r>
        <w:r w:rsidRPr="00AA562D">
          <w:rPr>
            <w:noProof/>
            <w:webHidden/>
            <w:sz w:val="28"/>
            <w:szCs w:val="28"/>
          </w:rPr>
          <w:fldChar w:fldCharType="end"/>
        </w:r>
      </w:hyperlink>
    </w:p>
    <w:p w:rsidR="00AA562D" w:rsidRPr="00AA562D" w:rsidRDefault="00023108">
      <w:pPr>
        <w:pStyle w:val="24"/>
        <w:tabs>
          <w:tab w:val="right" w:leader="dot" w:pos="9060"/>
        </w:tabs>
        <w:rPr>
          <w:rFonts w:asciiTheme="minorHAnsi" w:eastAsiaTheme="minorEastAsia" w:hAnsiTheme="minorHAnsi" w:cstheme="minorBidi"/>
          <w:noProof/>
          <w:sz w:val="28"/>
          <w:szCs w:val="28"/>
          <w:lang w:eastAsia="ru-RU"/>
        </w:rPr>
      </w:pPr>
      <w:hyperlink w:anchor="_Toc356172735" w:history="1">
        <w:r w:rsidR="00AA562D" w:rsidRPr="00AA562D">
          <w:rPr>
            <w:rStyle w:val="a9"/>
            <w:noProof/>
            <w:sz w:val="28"/>
            <w:szCs w:val="28"/>
          </w:rPr>
          <w:t>1.2 Механизмы борьбы с «ресурсным проклятием» и стабилизации экономики</w:t>
        </w:r>
        <w:r w:rsidR="00AA562D" w:rsidRPr="00AA562D">
          <w:rPr>
            <w:noProof/>
            <w:webHidden/>
            <w:sz w:val="28"/>
            <w:szCs w:val="28"/>
          </w:rPr>
          <w:tab/>
        </w:r>
        <w:r w:rsidRPr="00AA562D">
          <w:rPr>
            <w:noProof/>
            <w:webHidden/>
            <w:sz w:val="28"/>
            <w:szCs w:val="28"/>
          </w:rPr>
          <w:fldChar w:fldCharType="begin"/>
        </w:r>
        <w:r w:rsidR="00AA562D" w:rsidRPr="00AA562D">
          <w:rPr>
            <w:noProof/>
            <w:webHidden/>
            <w:sz w:val="28"/>
            <w:szCs w:val="28"/>
          </w:rPr>
          <w:instrText xml:space="preserve"> PAGEREF _Toc356172735 \h </w:instrText>
        </w:r>
        <w:r w:rsidRPr="00AA562D">
          <w:rPr>
            <w:noProof/>
            <w:webHidden/>
            <w:sz w:val="28"/>
            <w:szCs w:val="28"/>
          </w:rPr>
        </w:r>
        <w:r w:rsidRPr="00AA562D">
          <w:rPr>
            <w:noProof/>
            <w:webHidden/>
            <w:sz w:val="28"/>
            <w:szCs w:val="28"/>
          </w:rPr>
          <w:fldChar w:fldCharType="separate"/>
        </w:r>
        <w:r w:rsidR="009D49E2">
          <w:rPr>
            <w:noProof/>
            <w:webHidden/>
            <w:sz w:val="28"/>
            <w:szCs w:val="28"/>
          </w:rPr>
          <w:t>13</w:t>
        </w:r>
        <w:r w:rsidRPr="00AA562D">
          <w:rPr>
            <w:noProof/>
            <w:webHidden/>
            <w:sz w:val="28"/>
            <w:szCs w:val="28"/>
          </w:rPr>
          <w:fldChar w:fldCharType="end"/>
        </w:r>
      </w:hyperlink>
    </w:p>
    <w:p w:rsidR="00AA562D" w:rsidRPr="00AA562D" w:rsidRDefault="00023108">
      <w:pPr>
        <w:pStyle w:val="12"/>
        <w:tabs>
          <w:tab w:val="right" w:leader="dot" w:pos="9060"/>
        </w:tabs>
        <w:rPr>
          <w:rFonts w:asciiTheme="minorHAnsi" w:eastAsiaTheme="minorEastAsia" w:hAnsiTheme="minorHAnsi" w:cstheme="minorBidi"/>
          <w:noProof/>
          <w:sz w:val="28"/>
          <w:szCs w:val="28"/>
          <w:lang w:eastAsia="ru-RU"/>
        </w:rPr>
      </w:pPr>
      <w:hyperlink w:anchor="_Toc356172736" w:history="1">
        <w:r w:rsidR="00AA562D" w:rsidRPr="00AA562D">
          <w:rPr>
            <w:rStyle w:val="a9"/>
            <w:noProof/>
            <w:sz w:val="28"/>
            <w:szCs w:val="28"/>
          </w:rPr>
          <w:t>Глава 2. Эволюция бюджетных правил по учету нефтегазовых доходов федерального бюджета Российской Федерации</w:t>
        </w:r>
        <w:r w:rsidR="00AA562D" w:rsidRPr="00AA562D">
          <w:rPr>
            <w:noProof/>
            <w:webHidden/>
            <w:sz w:val="28"/>
            <w:szCs w:val="28"/>
          </w:rPr>
          <w:tab/>
        </w:r>
        <w:r w:rsidRPr="00AA562D">
          <w:rPr>
            <w:noProof/>
            <w:webHidden/>
            <w:sz w:val="28"/>
            <w:szCs w:val="28"/>
          </w:rPr>
          <w:fldChar w:fldCharType="begin"/>
        </w:r>
        <w:r w:rsidR="00AA562D" w:rsidRPr="00AA562D">
          <w:rPr>
            <w:noProof/>
            <w:webHidden/>
            <w:sz w:val="28"/>
            <w:szCs w:val="28"/>
          </w:rPr>
          <w:instrText xml:space="preserve"> PAGEREF _Toc356172736 \h </w:instrText>
        </w:r>
        <w:r w:rsidRPr="00AA562D">
          <w:rPr>
            <w:noProof/>
            <w:webHidden/>
            <w:sz w:val="28"/>
            <w:szCs w:val="28"/>
          </w:rPr>
        </w:r>
        <w:r w:rsidRPr="00AA562D">
          <w:rPr>
            <w:noProof/>
            <w:webHidden/>
            <w:sz w:val="28"/>
            <w:szCs w:val="28"/>
          </w:rPr>
          <w:fldChar w:fldCharType="separate"/>
        </w:r>
        <w:r w:rsidR="009D49E2">
          <w:rPr>
            <w:noProof/>
            <w:webHidden/>
            <w:sz w:val="28"/>
            <w:szCs w:val="28"/>
          </w:rPr>
          <w:t>22</w:t>
        </w:r>
        <w:r w:rsidRPr="00AA562D">
          <w:rPr>
            <w:noProof/>
            <w:webHidden/>
            <w:sz w:val="28"/>
            <w:szCs w:val="28"/>
          </w:rPr>
          <w:fldChar w:fldCharType="end"/>
        </w:r>
      </w:hyperlink>
    </w:p>
    <w:p w:rsidR="00AA562D" w:rsidRPr="00AA562D" w:rsidRDefault="00023108">
      <w:pPr>
        <w:pStyle w:val="24"/>
        <w:tabs>
          <w:tab w:val="right" w:leader="dot" w:pos="9060"/>
        </w:tabs>
        <w:rPr>
          <w:rFonts w:asciiTheme="minorHAnsi" w:eastAsiaTheme="minorEastAsia" w:hAnsiTheme="minorHAnsi" w:cstheme="minorBidi"/>
          <w:noProof/>
          <w:sz w:val="28"/>
          <w:szCs w:val="28"/>
          <w:lang w:eastAsia="ru-RU"/>
        </w:rPr>
      </w:pPr>
      <w:hyperlink w:anchor="_Toc356172737" w:history="1">
        <w:r w:rsidR="00AA562D" w:rsidRPr="00AA562D">
          <w:rPr>
            <w:rStyle w:val="a9"/>
            <w:noProof/>
            <w:sz w:val="28"/>
            <w:szCs w:val="28"/>
          </w:rPr>
          <w:t>2.1 Стабилизационный фонд Российской Федерации: 2004-2007гг.</w:t>
        </w:r>
        <w:r w:rsidR="00AA562D" w:rsidRPr="00AA562D">
          <w:rPr>
            <w:noProof/>
            <w:webHidden/>
            <w:sz w:val="28"/>
            <w:szCs w:val="28"/>
          </w:rPr>
          <w:tab/>
        </w:r>
        <w:r w:rsidRPr="00AA562D">
          <w:rPr>
            <w:noProof/>
            <w:webHidden/>
            <w:sz w:val="28"/>
            <w:szCs w:val="28"/>
          </w:rPr>
          <w:fldChar w:fldCharType="begin"/>
        </w:r>
        <w:r w:rsidR="00AA562D" w:rsidRPr="00AA562D">
          <w:rPr>
            <w:noProof/>
            <w:webHidden/>
            <w:sz w:val="28"/>
            <w:szCs w:val="28"/>
          </w:rPr>
          <w:instrText xml:space="preserve"> PAGEREF _Toc356172737 \h </w:instrText>
        </w:r>
        <w:r w:rsidRPr="00AA562D">
          <w:rPr>
            <w:noProof/>
            <w:webHidden/>
            <w:sz w:val="28"/>
            <w:szCs w:val="28"/>
          </w:rPr>
        </w:r>
        <w:r w:rsidRPr="00AA562D">
          <w:rPr>
            <w:noProof/>
            <w:webHidden/>
            <w:sz w:val="28"/>
            <w:szCs w:val="28"/>
          </w:rPr>
          <w:fldChar w:fldCharType="separate"/>
        </w:r>
        <w:r w:rsidR="009D49E2">
          <w:rPr>
            <w:noProof/>
            <w:webHidden/>
            <w:sz w:val="28"/>
            <w:szCs w:val="28"/>
          </w:rPr>
          <w:t>22</w:t>
        </w:r>
        <w:r w:rsidRPr="00AA562D">
          <w:rPr>
            <w:noProof/>
            <w:webHidden/>
            <w:sz w:val="28"/>
            <w:szCs w:val="28"/>
          </w:rPr>
          <w:fldChar w:fldCharType="end"/>
        </w:r>
      </w:hyperlink>
    </w:p>
    <w:p w:rsidR="00AA562D" w:rsidRPr="00AA562D" w:rsidRDefault="00023108">
      <w:pPr>
        <w:pStyle w:val="24"/>
        <w:tabs>
          <w:tab w:val="right" w:leader="dot" w:pos="9060"/>
        </w:tabs>
        <w:rPr>
          <w:rFonts w:asciiTheme="minorHAnsi" w:eastAsiaTheme="minorEastAsia" w:hAnsiTheme="minorHAnsi" w:cstheme="minorBidi"/>
          <w:noProof/>
          <w:sz w:val="28"/>
          <w:szCs w:val="28"/>
          <w:lang w:eastAsia="ru-RU"/>
        </w:rPr>
      </w:pPr>
      <w:hyperlink w:anchor="_Toc356172738" w:history="1">
        <w:r w:rsidR="00AA562D" w:rsidRPr="00AA562D">
          <w:rPr>
            <w:rStyle w:val="a9"/>
            <w:noProof/>
            <w:sz w:val="28"/>
            <w:szCs w:val="28"/>
          </w:rPr>
          <w:t>2.2 Нефтегазовый трансферт, Резервный фонд и Фонд национального благосостояния в 2008-2012 гг.</w:t>
        </w:r>
        <w:r w:rsidR="00AA562D" w:rsidRPr="00AA562D">
          <w:rPr>
            <w:noProof/>
            <w:webHidden/>
            <w:sz w:val="28"/>
            <w:szCs w:val="28"/>
          </w:rPr>
          <w:tab/>
        </w:r>
        <w:r w:rsidRPr="00AA562D">
          <w:rPr>
            <w:noProof/>
            <w:webHidden/>
            <w:sz w:val="28"/>
            <w:szCs w:val="28"/>
          </w:rPr>
          <w:fldChar w:fldCharType="begin"/>
        </w:r>
        <w:r w:rsidR="00AA562D" w:rsidRPr="00AA562D">
          <w:rPr>
            <w:noProof/>
            <w:webHidden/>
            <w:sz w:val="28"/>
            <w:szCs w:val="28"/>
          </w:rPr>
          <w:instrText xml:space="preserve"> PAGEREF _Toc356172738 \h </w:instrText>
        </w:r>
        <w:r w:rsidRPr="00AA562D">
          <w:rPr>
            <w:noProof/>
            <w:webHidden/>
            <w:sz w:val="28"/>
            <w:szCs w:val="28"/>
          </w:rPr>
        </w:r>
        <w:r w:rsidRPr="00AA562D">
          <w:rPr>
            <w:noProof/>
            <w:webHidden/>
            <w:sz w:val="28"/>
            <w:szCs w:val="28"/>
          </w:rPr>
          <w:fldChar w:fldCharType="separate"/>
        </w:r>
        <w:r w:rsidR="009D49E2">
          <w:rPr>
            <w:noProof/>
            <w:webHidden/>
            <w:sz w:val="28"/>
            <w:szCs w:val="28"/>
          </w:rPr>
          <w:t>27</w:t>
        </w:r>
        <w:r w:rsidRPr="00AA562D">
          <w:rPr>
            <w:noProof/>
            <w:webHidden/>
            <w:sz w:val="28"/>
            <w:szCs w:val="28"/>
          </w:rPr>
          <w:fldChar w:fldCharType="end"/>
        </w:r>
      </w:hyperlink>
    </w:p>
    <w:p w:rsidR="00AA562D" w:rsidRPr="00AA562D" w:rsidRDefault="00023108">
      <w:pPr>
        <w:pStyle w:val="24"/>
        <w:tabs>
          <w:tab w:val="right" w:leader="dot" w:pos="9060"/>
        </w:tabs>
        <w:rPr>
          <w:rFonts w:asciiTheme="minorHAnsi" w:eastAsiaTheme="minorEastAsia" w:hAnsiTheme="minorHAnsi" w:cstheme="minorBidi"/>
          <w:noProof/>
          <w:sz w:val="28"/>
          <w:szCs w:val="28"/>
          <w:lang w:eastAsia="ru-RU"/>
        </w:rPr>
      </w:pPr>
      <w:hyperlink w:anchor="_Toc356172739" w:history="1">
        <w:r w:rsidR="00AA562D" w:rsidRPr="00AA562D">
          <w:rPr>
            <w:rStyle w:val="a9"/>
            <w:noProof/>
            <w:sz w:val="28"/>
            <w:szCs w:val="28"/>
          </w:rPr>
          <w:t>2.3 Новые бюджетные правила: с 2013 г.</w:t>
        </w:r>
        <w:r w:rsidR="00AA562D" w:rsidRPr="00AA562D">
          <w:rPr>
            <w:noProof/>
            <w:webHidden/>
            <w:sz w:val="28"/>
            <w:szCs w:val="28"/>
          </w:rPr>
          <w:tab/>
        </w:r>
        <w:r w:rsidRPr="00AA562D">
          <w:rPr>
            <w:noProof/>
            <w:webHidden/>
            <w:sz w:val="28"/>
            <w:szCs w:val="28"/>
          </w:rPr>
          <w:fldChar w:fldCharType="begin"/>
        </w:r>
        <w:r w:rsidR="00AA562D" w:rsidRPr="00AA562D">
          <w:rPr>
            <w:noProof/>
            <w:webHidden/>
            <w:sz w:val="28"/>
            <w:szCs w:val="28"/>
          </w:rPr>
          <w:instrText xml:space="preserve"> PAGEREF _Toc356172739 \h </w:instrText>
        </w:r>
        <w:r w:rsidRPr="00AA562D">
          <w:rPr>
            <w:noProof/>
            <w:webHidden/>
            <w:sz w:val="28"/>
            <w:szCs w:val="28"/>
          </w:rPr>
        </w:r>
        <w:r w:rsidRPr="00AA562D">
          <w:rPr>
            <w:noProof/>
            <w:webHidden/>
            <w:sz w:val="28"/>
            <w:szCs w:val="28"/>
          </w:rPr>
          <w:fldChar w:fldCharType="separate"/>
        </w:r>
        <w:r w:rsidR="009D49E2">
          <w:rPr>
            <w:noProof/>
            <w:webHidden/>
            <w:sz w:val="28"/>
            <w:szCs w:val="28"/>
          </w:rPr>
          <w:t>36</w:t>
        </w:r>
        <w:r w:rsidRPr="00AA562D">
          <w:rPr>
            <w:noProof/>
            <w:webHidden/>
            <w:sz w:val="28"/>
            <w:szCs w:val="28"/>
          </w:rPr>
          <w:fldChar w:fldCharType="end"/>
        </w:r>
      </w:hyperlink>
    </w:p>
    <w:p w:rsidR="00AA562D" w:rsidRPr="00AA562D" w:rsidRDefault="00023108">
      <w:pPr>
        <w:pStyle w:val="12"/>
        <w:tabs>
          <w:tab w:val="right" w:leader="dot" w:pos="9060"/>
        </w:tabs>
        <w:rPr>
          <w:rFonts w:asciiTheme="minorHAnsi" w:eastAsiaTheme="minorEastAsia" w:hAnsiTheme="minorHAnsi" w:cstheme="minorBidi"/>
          <w:noProof/>
          <w:sz w:val="28"/>
          <w:szCs w:val="28"/>
          <w:lang w:eastAsia="ru-RU"/>
        </w:rPr>
      </w:pPr>
      <w:hyperlink w:anchor="_Toc356172740" w:history="1">
        <w:r w:rsidR="00AA562D" w:rsidRPr="00AA562D">
          <w:rPr>
            <w:rStyle w:val="a9"/>
            <w:noProof/>
            <w:sz w:val="28"/>
            <w:szCs w:val="28"/>
          </w:rPr>
          <w:t>Глава 3. Целесообразность введения новых бюджетных правил и оценка их эффективности</w:t>
        </w:r>
        <w:r w:rsidR="00AA562D" w:rsidRPr="00AA562D">
          <w:rPr>
            <w:noProof/>
            <w:webHidden/>
            <w:sz w:val="28"/>
            <w:szCs w:val="28"/>
          </w:rPr>
          <w:tab/>
        </w:r>
        <w:r w:rsidRPr="00AA562D">
          <w:rPr>
            <w:noProof/>
            <w:webHidden/>
            <w:sz w:val="28"/>
            <w:szCs w:val="28"/>
          </w:rPr>
          <w:fldChar w:fldCharType="begin"/>
        </w:r>
        <w:r w:rsidR="00AA562D" w:rsidRPr="00AA562D">
          <w:rPr>
            <w:noProof/>
            <w:webHidden/>
            <w:sz w:val="28"/>
            <w:szCs w:val="28"/>
          </w:rPr>
          <w:instrText xml:space="preserve"> PAGEREF _Toc356172740 \h </w:instrText>
        </w:r>
        <w:r w:rsidRPr="00AA562D">
          <w:rPr>
            <w:noProof/>
            <w:webHidden/>
            <w:sz w:val="28"/>
            <w:szCs w:val="28"/>
          </w:rPr>
        </w:r>
        <w:r w:rsidRPr="00AA562D">
          <w:rPr>
            <w:noProof/>
            <w:webHidden/>
            <w:sz w:val="28"/>
            <w:szCs w:val="28"/>
          </w:rPr>
          <w:fldChar w:fldCharType="separate"/>
        </w:r>
        <w:r w:rsidR="009D49E2">
          <w:rPr>
            <w:noProof/>
            <w:webHidden/>
            <w:sz w:val="28"/>
            <w:szCs w:val="28"/>
          </w:rPr>
          <w:t>40</w:t>
        </w:r>
        <w:r w:rsidRPr="00AA562D">
          <w:rPr>
            <w:noProof/>
            <w:webHidden/>
            <w:sz w:val="28"/>
            <w:szCs w:val="28"/>
          </w:rPr>
          <w:fldChar w:fldCharType="end"/>
        </w:r>
      </w:hyperlink>
    </w:p>
    <w:p w:rsidR="00AA562D" w:rsidRPr="00AA562D" w:rsidRDefault="00023108">
      <w:pPr>
        <w:pStyle w:val="12"/>
        <w:tabs>
          <w:tab w:val="right" w:leader="dot" w:pos="9060"/>
        </w:tabs>
        <w:rPr>
          <w:rFonts w:asciiTheme="minorHAnsi" w:eastAsiaTheme="minorEastAsia" w:hAnsiTheme="minorHAnsi" w:cstheme="minorBidi"/>
          <w:noProof/>
          <w:sz w:val="28"/>
          <w:szCs w:val="28"/>
          <w:lang w:eastAsia="ru-RU"/>
        </w:rPr>
      </w:pPr>
      <w:hyperlink w:anchor="_Toc356172741" w:history="1">
        <w:r w:rsidR="00AA562D" w:rsidRPr="00AA562D">
          <w:rPr>
            <w:rStyle w:val="a9"/>
            <w:noProof/>
            <w:sz w:val="28"/>
            <w:szCs w:val="28"/>
          </w:rPr>
          <w:t>Заключение</w:t>
        </w:r>
        <w:r w:rsidR="00AA562D" w:rsidRPr="00AA562D">
          <w:rPr>
            <w:noProof/>
            <w:webHidden/>
            <w:sz w:val="28"/>
            <w:szCs w:val="28"/>
          </w:rPr>
          <w:tab/>
        </w:r>
        <w:r w:rsidRPr="00AA562D">
          <w:rPr>
            <w:noProof/>
            <w:webHidden/>
            <w:sz w:val="28"/>
            <w:szCs w:val="28"/>
          </w:rPr>
          <w:fldChar w:fldCharType="begin"/>
        </w:r>
        <w:r w:rsidR="00AA562D" w:rsidRPr="00AA562D">
          <w:rPr>
            <w:noProof/>
            <w:webHidden/>
            <w:sz w:val="28"/>
            <w:szCs w:val="28"/>
          </w:rPr>
          <w:instrText xml:space="preserve"> PAGEREF _Toc356172741 \h </w:instrText>
        </w:r>
        <w:r w:rsidRPr="00AA562D">
          <w:rPr>
            <w:noProof/>
            <w:webHidden/>
            <w:sz w:val="28"/>
            <w:szCs w:val="28"/>
          </w:rPr>
        </w:r>
        <w:r w:rsidRPr="00AA562D">
          <w:rPr>
            <w:noProof/>
            <w:webHidden/>
            <w:sz w:val="28"/>
            <w:szCs w:val="28"/>
          </w:rPr>
          <w:fldChar w:fldCharType="separate"/>
        </w:r>
        <w:r w:rsidR="009D49E2">
          <w:rPr>
            <w:noProof/>
            <w:webHidden/>
            <w:sz w:val="28"/>
            <w:szCs w:val="28"/>
          </w:rPr>
          <w:t>56</w:t>
        </w:r>
        <w:r w:rsidRPr="00AA562D">
          <w:rPr>
            <w:noProof/>
            <w:webHidden/>
            <w:sz w:val="28"/>
            <w:szCs w:val="28"/>
          </w:rPr>
          <w:fldChar w:fldCharType="end"/>
        </w:r>
      </w:hyperlink>
    </w:p>
    <w:p w:rsidR="00AA562D" w:rsidRPr="00AA562D" w:rsidRDefault="00023108">
      <w:pPr>
        <w:pStyle w:val="12"/>
        <w:tabs>
          <w:tab w:val="right" w:leader="dot" w:pos="9060"/>
        </w:tabs>
        <w:rPr>
          <w:rFonts w:asciiTheme="minorHAnsi" w:eastAsiaTheme="minorEastAsia" w:hAnsiTheme="minorHAnsi" w:cstheme="minorBidi"/>
          <w:noProof/>
          <w:sz w:val="28"/>
          <w:szCs w:val="28"/>
          <w:lang w:eastAsia="ru-RU"/>
        </w:rPr>
      </w:pPr>
      <w:hyperlink w:anchor="_Toc356172742" w:history="1">
        <w:r w:rsidR="00AA562D">
          <w:rPr>
            <w:rStyle w:val="a9"/>
            <w:noProof/>
            <w:sz w:val="28"/>
            <w:szCs w:val="28"/>
          </w:rPr>
          <w:t>Библиографический список</w:t>
        </w:r>
        <w:r w:rsidR="00AA562D" w:rsidRPr="00AA562D">
          <w:rPr>
            <w:noProof/>
            <w:webHidden/>
            <w:sz w:val="28"/>
            <w:szCs w:val="28"/>
          </w:rPr>
          <w:tab/>
        </w:r>
        <w:r w:rsidRPr="00AA562D">
          <w:rPr>
            <w:noProof/>
            <w:webHidden/>
            <w:sz w:val="28"/>
            <w:szCs w:val="28"/>
          </w:rPr>
          <w:fldChar w:fldCharType="begin"/>
        </w:r>
        <w:r w:rsidR="00AA562D" w:rsidRPr="00AA562D">
          <w:rPr>
            <w:noProof/>
            <w:webHidden/>
            <w:sz w:val="28"/>
            <w:szCs w:val="28"/>
          </w:rPr>
          <w:instrText xml:space="preserve"> PAGEREF _Toc356172742 \h </w:instrText>
        </w:r>
        <w:r w:rsidRPr="00AA562D">
          <w:rPr>
            <w:noProof/>
            <w:webHidden/>
            <w:sz w:val="28"/>
            <w:szCs w:val="28"/>
          </w:rPr>
        </w:r>
        <w:r w:rsidRPr="00AA562D">
          <w:rPr>
            <w:noProof/>
            <w:webHidden/>
            <w:sz w:val="28"/>
            <w:szCs w:val="28"/>
          </w:rPr>
          <w:fldChar w:fldCharType="separate"/>
        </w:r>
        <w:r w:rsidR="009D49E2">
          <w:rPr>
            <w:noProof/>
            <w:webHidden/>
            <w:sz w:val="28"/>
            <w:szCs w:val="28"/>
          </w:rPr>
          <w:t>59</w:t>
        </w:r>
        <w:r w:rsidRPr="00AA562D">
          <w:rPr>
            <w:noProof/>
            <w:webHidden/>
            <w:sz w:val="28"/>
            <w:szCs w:val="28"/>
          </w:rPr>
          <w:fldChar w:fldCharType="end"/>
        </w:r>
      </w:hyperlink>
    </w:p>
    <w:p w:rsidR="00AA562D" w:rsidRPr="00AA562D" w:rsidRDefault="00023108">
      <w:pPr>
        <w:pStyle w:val="12"/>
        <w:tabs>
          <w:tab w:val="right" w:leader="dot" w:pos="9060"/>
        </w:tabs>
        <w:rPr>
          <w:rFonts w:asciiTheme="minorHAnsi" w:eastAsiaTheme="minorEastAsia" w:hAnsiTheme="minorHAnsi" w:cstheme="minorBidi"/>
          <w:noProof/>
          <w:sz w:val="28"/>
          <w:szCs w:val="28"/>
          <w:lang w:eastAsia="ru-RU"/>
        </w:rPr>
      </w:pPr>
      <w:hyperlink w:anchor="_Toc356172743" w:history="1">
        <w:r w:rsidR="007956D3">
          <w:rPr>
            <w:rStyle w:val="a9"/>
            <w:noProof/>
            <w:sz w:val="28"/>
            <w:szCs w:val="28"/>
          </w:rPr>
          <w:t>Приложения</w:t>
        </w:r>
        <w:r w:rsidR="00AA562D" w:rsidRPr="00AA562D">
          <w:rPr>
            <w:noProof/>
            <w:webHidden/>
            <w:sz w:val="28"/>
            <w:szCs w:val="28"/>
          </w:rPr>
          <w:tab/>
        </w:r>
        <w:r w:rsidRPr="00AA562D">
          <w:rPr>
            <w:noProof/>
            <w:webHidden/>
            <w:sz w:val="28"/>
            <w:szCs w:val="28"/>
          </w:rPr>
          <w:fldChar w:fldCharType="begin"/>
        </w:r>
        <w:r w:rsidR="00AA562D" w:rsidRPr="00AA562D">
          <w:rPr>
            <w:noProof/>
            <w:webHidden/>
            <w:sz w:val="28"/>
            <w:szCs w:val="28"/>
          </w:rPr>
          <w:instrText xml:space="preserve"> PAGEREF _Toc356172743 \h </w:instrText>
        </w:r>
        <w:r w:rsidRPr="00AA562D">
          <w:rPr>
            <w:noProof/>
            <w:webHidden/>
            <w:sz w:val="28"/>
            <w:szCs w:val="28"/>
          </w:rPr>
        </w:r>
        <w:r w:rsidRPr="00AA562D">
          <w:rPr>
            <w:noProof/>
            <w:webHidden/>
            <w:sz w:val="28"/>
            <w:szCs w:val="28"/>
          </w:rPr>
          <w:fldChar w:fldCharType="separate"/>
        </w:r>
        <w:r w:rsidR="009D49E2">
          <w:rPr>
            <w:noProof/>
            <w:webHidden/>
            <w:sz w:val="28"/>
            <w:szCs w:val="28"/>
          </w:rPr>
          <w:t>66</w:t>
        </w:r>
        <w:r w:rsidRPr="00AA562D">
          <w:rPr>
            <w:noProof/>
            <w:webHidden/>
            <w:sz w:val="28"/>
            <w:szCs w:val="28"/>
          </w:rPr>
          <w:fldChar w:fldCharType="end"/>
        </w:r>
      </w:hyperlink>
    </w:p>
    <w:p w:rsidR="00400D5A" w:rsidRDefault="00023108" w:rsidP="00AD79D2">
      <w:pPr>
        <w:pStyle w:val="1"/>
      </w:pPr>
      <w:r w:rsidRPr="00AA562D">
        <w:rPr>
          <w:sz w:val="28"/>
          <w:szCs w:val="28"/>
        </w:rPr>
        <w:fldChar w:fldCharType="end"/>
      </w:r>
    </w:p>
    <w:p w:rsidR="00400D5A" w:rsidRDefault="00400D5A" w:rsidP="00400D5A">
      <w:pPr>
        <w:rPr>
          <w:rFonts w:eastAsiaTheme="majorEastAsia" w:cstheme="majorBidi"/>
          <w:sz w:val="32"/>
          <w:szCs w:val="32"/>
        </w:rPr>
      </w:pPr>
      <w:r>
        <w:br w:type="page"/>
      </w:r>
    </w:p>
    <w:p w:rsidR="00860559" w:rsidRPr="00985D29" w:rsidRDefault="00860559" w:rsidP="00AD79D2">
      <w:pPr>
        <w:pStyle w:val="1"/>
      </w:pPr>
      <w:bookmarkStart w:id="1" w:name="_Toc356172732"/>
      <w:r w:rsidRPr="00985D29">
        <w:lastRenderedPageBreak/>
        <w:t>Введение</w:t>
      </w:r>
      <w:bookmarkEnd w:id="1"/>
    </w:p>
    <w:p w:rsidR="00157D84" w:rsidRPr="006D7FDF" w:rsidRDefault="00ED029D" w:rsidP="00157D84">
      <w:pPr>
        <w:spacing w:after="0" w:line="360" w:lineRule="auto"/>
        <w:ind w:firstLine="851"/>
        <w:jc w:val="both"/>
        <w:rPr>
          <w:sz w:val="28"/>
          <w:szCs w:val="28"/>
        </w:rPr>
      </w:pPr>
      <w:r w:rsidRPr="006D7FDF">
        <w:rPr>
          <w:sz w:val="28"/>
          <w:szCs w:val="28"/>
        </w:rPr>
        <w:t>Федеральный бюджет – ключевое</w:t>
      </w:r>
      <w:r w:rsidR="006B3191" w:rsidRPr="006D7FDF">
        <w:rPr>
          <w:sz w:val="28"/>
          <w:szCs w:val="28"/>
        </w:rPr>
        <w:t xml:space="preserve"> звено бюджетной системы Российской Федерации, и обеспечение его долгосрочной сбалансированности и устойчивости является приоритетным направлением государственной политики и одной из важнейших предпосылок для сохранения макроэкономической стабильности</w:t>
      </w:r>
      <w:r w:rsidR="006A0FC5" w:rsidRPr="006D7FDF">
        <w:rPr>
          <w:sz w:val="28"/>
          <w:szCs w:val="28"/>
        </w:rPr>
        <w:t xml:space="preserve"> в стране</w:t>
      </w:r>
      <w:r w:rsidR="006B3191" w:rsidRPr="006D7FDF">
        <w:rPr>
          <w:sz w:val="28"/>
          <w:szCs w:val="28"/>
        </w:rPr>
        <w:t xml:space="preserve">, </w:t>
      </w:r>
      <w:r w:rsidRPr="006D7FDF">
        <w:rPr>
          <w:sz w:val="28"/>
          <w:szCs w:val="28"/>
        </w:rPr>
        <w:t xml:space="preserve">создающей </w:t>
      </w:r>
      <w:r w:rsidR="006B3191" w:rsidRPr="006D7FDF">
        <w:rPr>
          <w:sz w:val="28"/>
          <w:szCs w:val="28"/>
        </w:rPr>
        <w:t xml:space="preserve">базовые условия для экономического роста и </w:t>
      </w:r>
      <w:r w:rsidR="00F750D1" w:rsidRPr="006D7FDF">
        <w:rPr>
          <w:sz w:val="28"/>
          <w:szCs w:val="28"/>
        </w:rPr>
        <w:t>повышения уровня жизни российских граждан</w:t>
      </w:r>
      <w:r w:rsidR="006B3191" w:rsidRPr="006D7FDF">
        <w:rPr>
          <w:sz w:val="28"/>
          <w:szCs w:val="28"/>
        </w:rPr>
        <w:t xml:space="preserve">. </w:t>
      </w:r>
    </w:p>
    <w:p w:rsidR="006B3191" w:rsidRPr="006D7FDF" w:rsidRDefault="006B3191" w:rsidP="00157D84">
      <w:pPr>
        <w:spacing w:after="0" w:line="360" w:lineRule="auto"/>
        <w:ind w:firstLine="851"/>
        <w:jc w:val="both"/>
        <w:rPr>
          <w:sz w:val="28"/>
          <w:szCs w:val="28"/>
        </w:rPr>
      </w:pPr>
      <w:r w:rsidRPr="006D7FDF">
        <w:rPr>
          <w:sz w:val="28"/>
          <w:szCs w:val="28"/>
        </w:rPr>
        <w:t>Благоприятная общеэкономическая конъюнктура и высокие цены на топливно-энергетические ресурсы в течение 2000-х годов способствовали увеличению доходов федерального бюджета. За период с 2000 по 2008 год среднегодовые темпы роста доходов федерального бюджета составили 30%, расходы за тот же период росли в среднем на 28% в год.</w:t>
      </w:r>
      <w:r w:rsidR="004A2642" w:rsidRPr="006D7FDF">
        <w:rPr>
          <w:sz w:val="28"/>
          <w:szCs w:val="28"/>
        </w:rPr>
        <w:t xml:space="preserve"> На протяжении всего этого периода Россия развивалась с профицитом федерального бюджета, однако главным источником роста доходной части бюджета оставались доходы от экспорта сырьевых ресурсов.</w:t>
      </w:r>
    </w:p>
    <w:p w:rsidR="004A2642" w:rsidRPr="006D7FDF" w:rsidRDefault="004A2642" w:rsidP="00157D84">
      <w:pPr>
        <w:spacing w:after="0" w:line="360" w:lineRule="auto"/>
        <w:ind w:firstLine="851"/>
        <w:jc w:val="both"/>
        <w:rPr>
          <w:sz w:val="28"/>
          <w:szCs w:val="28"/>
        </w:rPr>
      </w:pPr>
      <w:r w:rsidRPr="006D7FDF">
        <w:rPr>
          <w:sz w:val="28"/>
          <w:szCs w:val="28"/>
        </w:rPr>
        <w:t>За последнее десятилетие зависимость федерального бюджета и бюджетной системы в целом от экспорта сырья существенно возросла. Если в 2000 году доля нефтегазовых доходов в общем объеме доходов федерального бюджета составляла порядка 20%, то к 2004 году она возросла до 30%, а в 2012 году нефтегазовы</w:t>
      </w:r>
      <w:r w:rsidR="00E65283" w:rsidRPr="006D7FDF">
        <w:rPr>
          <w:sz w:val="28"/>
          <w:szCs w:val="28"/>
        </w:rPr>
        <w:t>е</w:t>
      </w:r>
      <w:r w:rsidRPr="006D7FDF">
        <w:rPr>
          <w:sz w:val="28"/>
          <w:szCs w:val="28"/>
        </w:rPr>
        <w:t xml:space="preserve"> доход</w:t>
      </w:r>
      <w:r w:rsidR="00E65283" w:rsidRPr="006D7FDF">
        <w:rPr>
          <w:sz w:val="28"/>
          <w:szCs w:val="28"/>
        </w:rPr>
        <w:t>ы составили половину всех поступивших в федеральный бюджет доходов.</w:t>
      </w:r>
      <w:r w:rsidR="00721596">
        <w:rPr>
          <w:sz w:val="28"/>
          <w:szCs w:val="28"/>
        </w:rPr>
        <w:t xml:space="preserve"> </w:t>
      </w:r>
      <w:r w:rsidR="00710FBC" w:rsidRPr="006D7FDF">
        <w:rPr>
          <w:sz w:val="28"/>
          <w:szCs w:val="28"/>
        </w:rPr>
        <w:t>В связи со столь высокой зависимостью российской экономики и бюджетной системы от сырьевого сектора и внешнеэкономической конъюнктуры усиливается роль федерального бюджета как инструмента государственной политики.</w:t>
      </w:r>
    </w:p>
    <w:p w:rsidR="00E65283" w:rsidRPr="006D7FDF" w:rsidRDefault="00710FBC" w:rsidP="00157D84">
      <w:pPr>
        <w:spacing w:after="0" w:line="360" w:lineRule="auto"/>
        <w:ind w:firstLine="851"/>
        <w:jc w:val="both"/>
        <w:rPr>
          <w:sz w:val="28"/>
          <w:szCs w:val="28"/>
        </w:rPr>
      </w:pPr>
      <w:r w:rsidRPr="006D7FDF">
        <w:rPr>
          <w:sz w:val="28"/>
          <w:szCs w:val="28"/>
        </w:rPr>
        <w:t>Д</w:t>
      </w:r>
      <w:r w:rsidR="00E65283" w:rsidRPr="006D7FDF">
        <w:rPr>
          <w:sz w:val="28"/>
          <w:szCs w:val="28"/>
        </w:rPr>
        <w:t xml:space="preserve">ля эффективного управления </w:t>
      </w:r>
      <w:r w:rsidR="007D06D3" w:rsidRPr="006D7FDF">
        <w:rPr>
          <w:sz w:val="28"/>
          <w:szCs w:val="28"/>
        </w:rPr>
        <w:t>сырьевыми</w:t>
      </w:r>
      <w:r w:rsidR="00E65283" w:rsidRPr="006D7FDF">
        <w:rPr>
          <w:sz w:val="28"/>
          <w:szCs w:val="28"/>
        </w:rPr>
        <w:t xml:space="preserve"> доходами и их использования с целью экономического роста и развития </w:t>
      </w:r>
      <w:r w:rsidR="007D06D3" w:rsidRPr="006D7FDF">
        <w:rPr>
          <w:sz w:val="28"/>
          <w:szCs w:val="28"/>
        </w:rPr>
        <w:t xml:space="preserve">необходимо наличие четких правил, так как отсутствие продуманных механизмов </w:t>
      </w:r>
      <w:r w:rsidR="007D06D3" w:rsidRPr="006D7FDF">
        <w:rPr>
          <w:sz w:val="28"/>
          <w:szCs w:val="28"/>
        </w:rPr>
        <w:lastRenderedPageBreak/>
        <w:t xml:space="preserve">управления нефтегазовыми доходами делает российскую экономику уязвимой к внешним шокам, повышает вероятность возникновения макроэкономических рисков и существенно ослабляет инвестиционную привлекательность. </w:t>
      </w:r>
    </w:p>
    <w:p w:rsidR="00AC538D" w:rsidRPr="006D7FDF" w:rsidRDefault="007D06D3" w:rsidP="00AC538D">
      <w:pPr>
        <w:spacing w:after="0" w:line="360" w:lineRule="auto"/>
        <w:ind w:firstLine="851"/>
        <w:jc w:val="both"/>
        <w:rPr>
          <w:sz w:val="28"/>
          <w:szCs w:val="28"/>
        </w:rPr>
      </w:pPr>
      <w:r w:rsidRPr="006D7FDF">
        <w:rPr>
          <w:sz w:val="28"/>
          <w:szCs w:val="28"/>
        </w:rPr>
        <w:t>Принимая во внимание высокую степень волатильности и непредсказуемости мировых цен на нефть, для защиты от рисков, вызванных резким падением цен на сырьевые товары, необходимо проводить взвешенную бюджетную политику</w:t>
      </w:r>
      <w:r w:rsidR="00F750D1" w:rsidRPr="006D7FDF">
        <w:rPr>
          <w:sz w:val="28"/>
          <w:szCs w:val="28"/>
        </w:rPr>
        <w:t>, не наращивая расходные обязательства в периоды благоприятной внешнеэкономической конъюнктуры, а учитывая долгосрочную динамику сырьевых цен.</w:t>
      </w:r>
      <w:r w:rsidR="00721596">
        <w:rPr>
          <w:sz w:val="28"/>
          <w:szCs w:val="28"/>
        </w:rPr>
        <w:t xml:space="preserve"> </w:t>
      </w:r>
      <w:r w:rsidR="00F750D1" w:rsidRPr="006D7FDF">
        <w:rPr>
          <w:sz w:val="28"/>
          <w:szCs w:val="28"/>
        </w:rPr>
        <w:t xml:space="preserve">Кроме того, </w:t>
      </w:r>
      <w:r w:rsidR="00710FBC" w:rsidRPr="006D7FDF">
        <w:rPr>
          <w:sz w:val="28"/>
          <w:szCs w:val="28"/>
        </w:rPr>
        <w:t xml:space="preserve">государственная политика должна быть направлена на создание резервов за счет высоких конъюнктурных доходов, которые </w:t>
      </w:r>
      <w:r w:rsidR="00AC538D" w:rsidRPr="006D7FDF">
        <w:rPr>
          <w:sz w:val="28"/>
          <w:szCs w:val="28"/>
        </w:rPr>
        <w:t xml:space="preserve">могли бы стать «подушкой безопасности», неким гарантом экономической стабильности, снижая </w:t>
      </w:r>
      <w:r w:rsidR="00AC538D" w:rsidRPr="006D7FDF">
        <w:rPr>
          <w:rFonts w:eastAsia="Calibri"/>
          <w:sz w:val="28"/>
          <w:szCs w:val="28"/>
        </w:rPr>
        <w:t>зависимость национальной экономики от неблагоприятных колебаний поступлений от экспорта сырьевых товаров, что принимает особо важное значение в кризисный и посткризисный периоды.</w:t>
      </w:r>
    </w:p>
    <w:p w:rsidR="0046403C" w:rsidRPr="006D7FDF" w:rsidRDefault="00AC538D" w:rsidP="0046403C">
      <w:pPr>
        <w:spacing w:after="0" w:line="360" w:lineRule="auto"/>
        <w:ind w:firstLine="851"/>
        <w:jc w:val="both"/>
        <w:rPr>
          <w:sz w:val="28"/>
          <w:szCs w:val="28"/>
        </w:rPr>
      </w:pPr>
      <w:r w:rsidRPr="006D7FDF">
        <w:rPr>
          <w:rFonts w:eastAsia="Calibri"/>
          <w:sz w:val="28"/>
          <w:szCs w:val="28"/>
        </w:rPr>
        <w:t xml:space="preserve">В свете недавних кризисных событий </w:t>
      </w:r>
      <w:r w:rsidRPr="006D7FDF">
        <w:rPr>
          <w:sz w:val="28"/>
          <w:szCs w:val="28"/>
        </w:rPr>
        <w:t xml:space="preserve">и последовавшего за ними периода восстановления мировой экономики </w:t>
      </w:r>
      <w:r w:rsidRPr="006D7FDF">
        <w:rPr>
          <w:rFonts w:eastAsia="Calibri"/>
          <w:sz w:val="28"/>
          <w:szCs w:val="28"/>
        </w:rPr>
        <w:t xml:space="preserve">проблема </w:t>
      </w:r>
      <w:r w:rsidRPr="006D7FDF">
        <w:rPr>
          <w:sz w:val="28"/>
          <w:szCs w:val="28"/>
        </w:rPr>
        <w:t xml:space="preserve">управления конъюнктурными сырьевыми доходами и их использования для поддержания стабильности и экономического роста </w:t>
      </w:r>
      <w:r w:rsidRPr="006D7FDF">
        <w:rPr>
          <w:rFonts w:eastAsia="Calibri"/>
          <w:sz w:val="28"/>
          <w:szCs w:val="28"/>
        </w:rPr>
        <w:t xml:space="preserve">стала еще более актуальной. </w:t>
      </w:r>
      <w:r w:rsidR="00D53C1F" w:rsidRPr="006D7FDF">
        <w:rPr>
          <w:sz w:val="28"/>
          <w:szCs w:val="28"/>
        </w:rPr>
        <w:t xml:space="preserve">В этой связи в рамках проведения политики по долгосрочной сбалансированности и устойчивости бюджетной системы </w:t>
      </w:r>
      <w:r w:rsidR="006A0FC5" w:rsidRPr="006D7FDF">
        <w:rPr>
          <w:sz w:val="28"/>
          <w:szCs w:val="28"/>
        </w:rPr>
        <w:t>Р</w:t>
      </w:r>
      <w:r w:rsidR="00D53C1F" w:rsidRPr="006D7FDF">
        <w:rPr>
          <w:sz w:val="28"/>
          <w:szCs w:val="28"/>
        </w:rPr>
        <w:t>оссийской Федерации было принято решение о введении новых бюджетных правил по учету и использованию нефтегазовых доходов федерального бюджета, основанных на модели «базовой цены на нефть».</w:t>
      </w:r>
    </w:p>
    <w:p w:rsidR="00DB625A" w:rsidRPr="006D7FDF" w:rsidRDefault="0046403C" w:rsidP="0046403C">
      <w:pPr>
        <w:spacing w:after="0" w:line="360" w:lineRule="auto"/>
        <w:ind w:firstLine="851"/>
        <w:jc w:val="both"/>
        <w:rPr>
          <w:sz w:val="28"/>
          <w:szCs w:val="28"/>
        </w:rPr>
      </w:pPr>
      <w:r w:rsidRPr="006D7FDF">
        <w:rPr>
          <w:rFonts w:eastAsia="Calibri"/>
          <w:sz w:val="28"/>
          <w:szCs w:val="28"/>
        </w:rPr>
        <w:t xml:space="preserve">Исходя из всего вышесказанного, </w:t>
      </w:r>
      <w:r w:rsidR="00DB625A" w:rsidRPr="006D7FDF">
        <w:rPr>
          <w:sz w:val="28"/>
          <w:szCs w:val="28"/>
        </w:rPr>
        <w:t>стоит отметить, что целью</w:t>
      </w:r>
      <w:r w:rsidR="006A0FC5" w:rsidRPr="006D7FDF">
        <w:rPr>
          <w:sz w:val="28"/>
          <w:szCs w:val="28"/>
        </w:rPr>
        <w:t xml:space="preserve"> данной </w:t>
      </w:r>
      <w:r w:rsidR="00DB625A" w:rsidRPr="006D7FDF">
        <w:rPr>
          <w:sz w:val="28"/>
          <w:szCs w:val="28"/>
        </w:rPr>
        <w:t xml:space="preserve"> дипломной</w:t>
      </w:r>
      <w:r w:rsidRPr="006D7FDF">
        <w:rPr>
          <w:rFonts w:eastAsia="Calibri"/>
          <w:sz w:val="28"/>
          <w:szCs w:val="28"/>
        </w:rPr>
        <w:t xml:space="preserve"> работы является </w:t>
      </w:r>
      <w:r w:rsidR="00DB625A" w:rsidRPr="006D7FDF">
        <w:rPr>
          <w:sz w:val="28"/>
          <w:szCs w:val="28"/>
        </w:rPr>
        <w:t xml:space="preserve">выявление эффективных механизмов управления нефтегазовыми доходами и их использования с целью </w:t>
      </w:r>
      <w:r w:rsidR="00DB625A" w:rsidRPr="006D7FDF">
        <w:rPr>
          <w:sz w:val="28"/>
          <w:szCs w:val="28"/>
        </w:rPr>
        <w:lastRenderedPageBreak/>
        <w:t xml:space="preserve">поддержания долгосрочной сбалансированности и устойчивости бюджетной системы Российской Федерации, </w:t>
      </w:r>
      <w:r w:rsidR="00ED029D" w:rsidRPr="006D7FDF">
        <w:rPr>
          <w:sz w:val="28"/>
          <w:szCs w:val="28"/>
        </w:rPr>
        <w:t xml:space="preserve">позволяющей обеспечить экономический рост. </w:t>
      </w:r>
    </w:p>
    <w:p w:rsidR="0046403C" w:rsidRPr="006D7FDF" w:rsidRDefault="00DB625A" w:rsidP="00AC538D">
      <w:pPr>
        <w:spacing w:after="0" w:line="360" w:lineRule="auto"/>
        <w:ind w:firstLine="851"/>
        <w:jc w:val="both"/>
        <w:rPr>
          <w:sz w:val="28"/>
          <w:szCs w:val="28"/>
        </w:rPr>
      </w:pPr>
      <w:r w:rsidRPr="006D7FDF">
        <w:rPr>
          <w:sz w:val="28"/>
          <w:szCs w:val="28"/>
        </w:rPr>
        <w:t>Достижение поставленной цели предполагает в ходе написания дипломной работы решение следующих задач:</w:t>
      </w:r>
    </w:p>
    <w:p w:rsidR="006A0FC5" w:rsidRPr="006D7FDF" w:rsidRDefault="00A60001" w:rsidP="006A0FC5">
      <w:pPr>
        <w:pStyle w:val="a8"/>
        <w:numPr>
          <w:ilvl w:val="0"/>
          <w:numId w:val="10"/>
        </w:numPr>
        <w:spacing w:after="0" w:line="360" w:lineRule="auto"/>
        <w:jc w:val="both"/>
        <w:rPr>
          <w:sz w:val="28"/>
          <w:szCs w:val="28"/>
        </w:rPr>
      </w:pPr>
      <w:r w:rsidRPr="006D7FDF">
        <w:rPr>
          <w:sz w:val="28"/>
          <w:szCs w:val="28"/>
        </w:rPr>
        <w:t>определить</w:t>
      </w:r>
      <w:r w:rsidR="006A0FC5" w:rsidRPr="006D7FDF">
        <w:rPr>
          <w:sz w:val="28"/>
          <w:szCs w:val="28"/>
        </w:rPr>
        <w:t>, какое воздействие оказывает наличие в стране богатой ресурсной базы</w:t>
      </w:r>
      <w:r w:rsidRPr="006D7FDF">
        <w:rPr>
          <w:sz w:val="28"/>
          <w:szCs w:val="28"/>
        </w:rPr>
        <w:t xml:space="preserve"> на экономическое и социальное развитие</w:t>
      </w:r>
      <w:r w:rsidR="006A0FC5" w:rsidRPr="006D7FDF">
        <w:rPr>
          <w:sz w:val="28"/>
          <w:szCs w:val="28"/>
        </w:rPr>
        <w:t>;</w:t>
      </w:r>
    </w:p>
    <w:p w:rsidR="006A0FC5" w:rsidRPr="006D7FDF" w:rsidRDefault="00A60001" w:rsidP="006A0FC5">
      <w:pPr>
        <w:pStyle w:val="a8"/>
        <w:numPr>
          <w:ilvl w:val="0"/>
          <w:numId w:val="10"/>
        </w:numPr>
        <w:spacing w:after="0" w:line="360" w:lineRule="auto"/>
        <w:jc w:val="both"/>
        <w:rPr>
          <w:sz w:val="28"/>
          <w:szCs w:val="28"/>
        </w:rPr>
      </w:pPr>
      <w:r w:rsidRPr="006D7FDF">
        <w:rPr>
          <w:sz w:val="28"/>
          <w:szCs w:val="28"/>
        </w:rPr>
        <w:t>выявить</w:t>
      </w:r>
      <w:r w:rsidR="006E6CE1">
        <w:rPr>
          <w:sz w:val="28"/>
          <w:szCs w:val="28"/>
        </w:rPr>
        <w:t xml:space="preserve"> </w:t>
      </w:r>
      <w:r w:rsidRPr="006D7FDF">
        <w:rPr>
          <w:sz w:val="28"/>
          <w:szCs w:val="28"/>
        </w:rPr>
        <w:t>основные подходы к стабилизации экономики и сглаживанию негативных эффектов в ресурсодобывающих странах, вызванных их зависимостью от экспорта природных ресурсов;</w:t>
      </w:r>
    </w:p>
    <w:p w:rsidR="00A60001" w:rsidRPr="006D7FDF" w:rsidRDefault="00A60001" w:rsidP="006A0FC5">
      <w:pPr>
        <w:pStyle w:val="a8"/>
        <w:numPr>
          <w:ilvl w:val="0"/>
          <w:numId w:val="10"/>
        </w:numPr>
        <w:spacing w:after="0" w:line="360" w:lineRule="auto"/>
        <w:jc w:val="both"/>
        <w:rPr>
          <w:sz w:val="28"/>
          <w:szCs w:val="28"/>
        </w:rPr>
      </w:pPr>
      <w:r w:rsidRPr="006D7FDF">
        <w:rPr>
          <w:sz w:val="28"/>
          <w:szCs w:val="28"/>
        </w:rPr>
        <w:t>исследовать эволюцию механизмов по управлению нефтегазовыми доходами и их использованию в Российской Федерации за период с 2000 года;</w:t>
      </w:r>
    </w:p>
    <w:p w:rsidR="00A60001" w:rsidRPr="006D7FDF" w:rsidRDefault="00A60001" w:rsidP="006A0FC5">
      <w:pPr>
        <w:pStyle w:val="a8"/>
        <w:numPr>
          <w:ilvl w:val="0"/>
          <w:numId w:val="10"/>
        </w:numPr>
        <w:spacing w:after="0" w:line="360" w:lineRule="auto"/>
        <w:jc w:val="both"/>
        <w:rPr>
          <w:sz w:val="28"/>
          <w:szCs w:val="28"/>
        </w:rPr>
      </w:pPr>
      <w:r w:rsidRPr="006D7FDF">
        <w:rPr>
          <w:sz w:val="28"/>
          <w:szCs w:val="28"/>
        </w:rPr>
        <w:t>проанализировать введенные с 2013 года новые бюджетные правила в части управления нефтегазовыми доходами федерального бюджета;</w:t>
      </w:r>
    </w:p>
    <w:p w:rsidR="00A60001" w:rsidRPr="006D7FDF" w:rsidRDefault="00A60001" w:rsidP="006A0FC5">
      <w:pPr>
        <w:pStyle w:val="a8"/>
        <w:numPr>
          <w:ilvl w:val="0"/>
          <w:numId w:val="10"/>
        </w:numPr>
        <w:spacing w:after="0" w:line="360" w:lineRule="auto"/>
        <w:jc w:val="both"/>
        <w:rPr>
          <w:sz w:val="28"/>
          <w:szCs w:val="28"/>
        </w:rPr>
      </w:pPr>
      <w:r w:rsidRPr="006D7FDF">
        <w:rPr>
          <w:sz w:val="28"/>
          <w:szCs w:val="28"/>
        </w:rPr>
        <w:t xml:space="preserve">оценить эффективность новых бюджетных правил и целесообразность их введения. </w:t>
      </w:r>
    </w:p>
    <w:p w:rsidR="00DB625A" w:rsidRPr="006D7FDF" w:rsidRDefault="00A11003" w:rsidP="00AC538D">
      <w:pPr>
        <w:spacing w:after="0" w:line="360" w:lineRule="auto"/>
        <w:ind w:firstLine="851"/>
        <w:jc w:val="both"/>
        <w:rPr>
          <w:rFonts w:eastAsia="Calibri"/>
          <w:sz w:val="28"/>
          <w:szCs w:val="28"/>
        </w:rPr>
      </w:pPr>
      <w:r w:rsidRPr="006D7FDF">
        <w:rPr>
          <w:rFonts w:eastAsia="Calibri"/>
          <w:sz w:val="28"/>
          <w:szCs w:val="28"/>
        </w:rPr>
        <w:t>Объектом исследования в данной работе являются нефтегазовые доходы федерального бюджета, предметом исследования –</w:t>
      </w:r>
      <w:r w:rsidR="002101D7" w:rsidRPr="006D7FDF">
        <w:rPr>
          <w:rFonts w:eastAsia="Calibri"/>
          <w:sz w:val="28"/>
          <w:szCs w:val="28"/>
        </w:rPr>
        <w:t xml:space="preserve"> бюджетные правила по учету нефтегазовых доходов и их использованию</w:t>
      </w:r>
      <w:r w:rsidRPr="006D7FDF">
        <w:rPr>
          <w:rFonts w:eastAsia="Calibri"/>
          <w:sz w:val="28"/>
          <w:szCs w:val="28"/>
        </w:rPr>
        <w:t>.</w:t>
      </w:r>
    </w:p>
    <w:p w:rsidR="00A11003" w:rsidRPr="006D7FDF" w:rsidRDefault="002101D7" w:rsidP="00AC538D">
      <w:pPr>
        <w:spacing w:after="0" w:line="360" w:lineRule="auto"/>
        <w:ind w:firstLine="851"/>
        <w:jc w:val="both"/>
        <w:rPr>
          <w:rFonts w:eastAsia="Calibri"/>
          <w:sz w:val="28"/>
          <w:szCs w:val="28"/>
        </w:rPr>
      </w:pPr>
      <w:r w:rsidRPr="006D7FDF">
        <w:rPr>
          <w:rFonts w:eastAsia="Calibri"/>
          <w:sz w:val="28"/>
          <w:szCs w:val="28"/>
        </w:rPr>
        <w:t>Гипотеза настоящего исследования заключается в том, что введение новых бюджетных правил обеспечит долгосрочную стабильность и устойчивость бюджетной системы, что в свою очередь, будет способствовать улучшению инвестиционного климата, модернизации и диверсификации экономики,</w:t>
      </w:r>
      <w:r w:rsidR="00FE39FE" w:rsidRPr="006D7FDF">
        <w:rPr>
          <w:rFonts w:eastAsia="Calibri"/>
          <w:sz w:val="28"/>
          <w:szCs w:val="28"/>
        </w:rPr>
        <w:t xml:space="preserve"> стабильному экономическому и социальному развитию</w:t>
      </w:r>
      <w:r w:rsidRPr="006D7FDF">
        <w:rPr>
          <w:rFonts w:eastAsia="Calibri"/>
          <w:sz w:val="28"/>
          <w:szCs w:val="28"/>
        </w:rPr>
        <w:t>.</w:t>
      </w:r>
    </w:p>
    <w:p w:rsidR="002E5D13" w:rsidRPr="006D7FDF" w:rsidRDefault="009E66D0" w:rsidP="002E5D13">
      <w:pPr>
        <w:spacing w:after="0" w:line="360" w:lineRule="auto"/>
        <w:ind w:firstLine="851"/>
        <w:jc w:val="both"/>
        <w:rPr>
          <w:rFonts w:eastAsia="Calibri"/>
          <w:sz w:val="28"/>
          <w:szCs w:val="28"/>
        </w:rPr>
      </w:pPr>
      <w:r w:rsidRPr="006D7FDF">
        <w:rPr>
          <w:rFonts w:eastAsia="Calibri"/>
          <w:sz w:val="28"/>
          <w:szCs w:val="28"/>
        </w:rPr>
        <w:lastRenderedPageBreak/>
        <w:t xml:space="preserve">При написании дипломной работы были использованы такие методы исследования, как анализ литературы и нормативно-правовых актов по тематике работы, обобщение и систематизация научного знания в изучаемой области, графический и статистический анализ, ретроспективная оценка. </w:t>
      </w:r>
    </w:p>
    <w:p w:rsidR="009E66D0" w:rsidRPr="00650A3D" w:rsidRDefault="009E66D0" w:rsidP="002E5D13">
      <w:pPr>
        <w:spacing w:after="0" w:line="360" w:lineRule="auto"/>
        <w:ind w:firstLine="851"/>
        <w:jc w:val="both"/>
        <w:rPr>
          <w:rFonts w:eastAsia="Calibri"/>
          <w:sz w:val="28"/>
          <w:szCs w:val="28"/>
        </w:rPr>
      </w:pPr>
      <w:r w:rsidRPr="00650A3D">
        <w:rPr>
          <w:rFonts w:eastAsia="Calibri"/>
          <w:sz w:val="28"/>
          <w:szCs w:val="28"/>
        </w:rPr>
        <w:t xml:space="preserve">В качестве теоретической основы использованы результаты исследований отечественных и зарубежных специалистов, опубликованные в периодических изданиях и монографиях, материалы международных организаций (Международный Валютный Фонд, Всемирный банк), научных конференций. </w:t>
      </w:r>
      <w:r w:rsidR="002E5D13" w:rsidRPr="00650A3D">
        <w:rPr>
          <w:rFonts w:eastAsia="Calibri"/>
          <w:sz w:val="28"/>
          <w:szCs w:val="28"/>
        </w:rPr>
        <w:t>Эмпирическую базу исследования составляют статистические данные Банка России, Федерального казначейства, Министерства финансов, ряда международных организаций (Международного Валютного Фонда, Всемирного банка, Международного энергетического агентства), органов статистики, а также аналитические ресурсы сети Интернет.</w:t>
      </w:r>
    </w:p>
    <w:p w:rsidR="00FE39FE" w:rsidRPr="00650A3D" w:rsidRDefault="00FE39FE" w:rsidP="00AC538D">
      <w:pPr>
        <w:spacing w:after="0" w:line="360" w:lineRule="auto"/>
        <w:ind w:firstLine="851"/>
        <w:jc w:val="both"/>
        <w:rPr>
          <w:rFonts w:eastAsia="Calibri"/>
          <w:sz w:val="28"/>
          <w:szCs w:val="28"/>
        </w:rPr>
      </w:pPr>
      <w:r w:rsidRPr="00650A3D">
        <w:rPr>
          <w:rFonts w:eastAsia="Calibri"/>
          <w:sz w:val="28"/>
          <w:szCs w:val="28"/>
        </w:rPr>
        <w:t xml:space="preserve">Структура работы обусловлена предметом, целью и задачами исследования. Работа состоит из введения, трех глав и заключения. </w:t>
      </w:r>
    </w:p>
    <w:p w:rsidR="003971DF" w:rsidRPr="00650A3D" w:rsidRDefault="003971DF" w:rsidP="00AC538D">
      <w:pPr>
        <w:spacing w:after="0" w:line="360" w:lineRule="auto"/>
        <w:ind w:firstLine="851"/>
        <w:jc w:val="both"/>
        <w:rPr>
          <w:rFonts w:eastAsia="Calibri"/>
          <w:sz w:val="28"/>
          <w:szCs w:val="28"/>
        </w:rPr>
      </w:pPr>
      <w:r w:rsidRPr="00650A3D">
        <w:rPr>
          <w:rFonts w:eastAsia="Calibri"/>
          <w:sz w:val="28"/>
          <w:szCs w:val="28"/>
        </w:rPr>
        <w:t xml:space="preserve">Введение раскрывает актуальность данного исследования, определяет </w:t>
      </w:r>
      <w:r w:rsidR="002E5D13" w:rsidRPr="00650A3D">
        <w:rPr>
          <w:rFonts w:eastAsia="Calibri"/>
          <w:sz w:val="28"/>
          <w:szCs w:val="28"/>
        </w:rPr>
        <w:t>объект, предмет, цель, задачи и методы исследования.</w:t>
      </w:r>
    </w:p>
    <w:p w:rsidR="00AC538D" w:rsidRPr="00650A3D" w:rsidRDefault="003971DF" w:rsidP="00710FBC">
      <w:pPr>
        <w:spacing w:after="0" w:line="360" w:lineRule="auto"/>
        <w:ind w:firstLine="851"/>
        <w:jc w:val="both"/>
        <w:rPr>
          <w:sz w:val="28"/>
          <w:szCs w:val="28"/>
        </w:rPr>
      </w:pPr>
      <w:r w:rsidRPr="00650A3D">
        <w:rPr>
          <w:rFonts w:eastAsia="Calibri"/>
          <w:sz w:val="28"/>
          <w:szCs w:val="28"/>
        </w:rPr>
        <w:t>В первой главе раскрываются теорети</w:t>
      </w:r>
      <w:r w:rsidRPr="00650A3D">
        <w:rPr>
          <w:sz w:val="28"/>
          <w:szCs w:val="28"/>
        </w:rPr>
        <w:t>ческие аспекты, связанные с управлением сырьевыми доходами, их влиянием на экономику страны, а также определяются основные механизмы борьбы с негативными эффектами, возникающими в силу излишней зависимости страны от экспорта природных ресурсов. Во второй главе проводится исследование эволюции бюджетных правил по учету нефтегазовых доходов и их использованию</w:t>
      </w:r>
      <w:r w:rsidR="00ED029D" w:rsidRPr="00650A3D">
        <w:rPr>
          <w:sz w:val="28"/>
          <w:szCs w:val="28"/>
        </w:rPr>
        <w:t xml:space="preserve"> в Р</w:t>
      </w:r>
      <w:r w:rsidR="00B45B17" w:rsidRPr="00650A3D">
        <w:rPr>
          <w:sz w:val="28"/>
          <w:szCs w:val="28"/>
        </w:rPr>
        <w:t xml:space="preserve">оссийской Федерации за период с 2000 года. В третьей главе рассматриваются введенные с 2013 года новые бюджетные правила в части управления нефтегазовыми доходами, анализируется их эффективность и целесообразность введения. В заключении подводятся </w:t>
      </w:r>
      <w:r w:rsidR="00B45B17" w:rsidRPr="00650A3D">
        <w:rPr>
          <w:sz w:val="28"/>
          <w:szCs w:val="28"/>
        </w:rPr>
        <w:lastRenderedPageBreak/>
        <w:t xml:space="preserve">итоги исследования, формируются окончательные выводы по рассматриваемой теме. </w:t>
      </w:r>
    </w:p>
    <w:p w:rsidR="007D06D3" w:rsidRPr="00985D29" w:rsidRDefault="007D06D3" w:rsidP="00157D84">
      <w:pPr>
        <w:spacing w:after="0" w:line="360" w:lineRule="auto"/>
        <w:ind w:firstLine="851"/>
        <w:jc w:val="both"/>
        <w:rPr>
          <w:sz w:val="26"/>
          <w:szCs w:val="26"/>
        </w:rPr>
      </w:pPr>
    </w:p>
    <w:p w:rsidR="00157D84" w:rsidRPr="00985D29" w:rsidRDefault="00157D84" w:rsidP="00157D84">
      <w:pPr>
        <w:rPr>
          <w:sz w:val="26"/>
          <w:szCs w:val="26"/>
        </w:rPr>
      </w:pPr>
    </w:p>
    <w:p w:rsidR="00157D84" w:rsidRPr="00985D29" w:rsidRDefault="00157D84" w:rsidP="00157D84">
      <w:pPr>
        <w:spacing w:after="0" w:line="360" w:lineRule="auto"/>
        <w:jc w:val="both"/>
        <w:rPr>
          <w:sz w:val="26"/>
          <w:szCs w:val="26"/>
        </w:rPr>
      </w:pPr>
    </w:p>
    <w:p w:rsidR="00860559" w:rsidRPr="00985D29" w:rsidRDefault="00860559" w:rsidP="00860559">
      <w:pPr>
        <w:rPr>
          <w:sz w:val="26"/>
          <w:szCs w:val="26"/>
        </w:rPr>
      </w:pPr>
      <w:r w:rsidRPr="00985D29">
        <w:rPr>
          <w:sz w:val="26"/>
          <w:szCs w:val="26"/>
        </w:rPr>
        <w:br w:type="page"/>
      </w:r>
    </w:p>
    <w:p w:rsidR="00133A72" w:rsidRPr="00985D29" w:rsidRDefault="00FA47E2" w:rsidP="00AD79D2">
      <w:pPr>
        <w:pStyle w:val="1"/>
      </w:pPr>
      <w:bookmarkStart w:id="2" w:name="_Toc356172733"/>
      <w:r w:rsidRPr="00985D29">
        <w:lastRenderedPageBreak/>
        <w:t xml:space="preserve">Глава </w:t>
      </w:r>
      <w:r w:rsidR="001A114C" w:rsidRPr="00985D29">
        <w:t xml:space="preserve">1. </w:t>
      </w:r>
      <w:r w:rsidR="00133A72" w:rsidRPr="00985D29">
        <w:t>Теоретические основы управления нефтегазовыми доходами</w:t>
      </w:r>
      <w:bookmarkEnd w:id="2"/>
    </w:p>
    <w:p w:rsidR="004B07E7" w:rsidRPr="00985D29" w:rsidRDefault="00133A72" w:rsidP="00AD79D2">
      <w:pPr>
        <w:pStyle w:val="2"/>
      </w:pPr>
      <w:bookmarkStart w:id="3" w:name="_Toc356172734"/>
      <w:r w:rsidRPr="00985D29">
        <w:t xml:space="preserve">1.1 </w:t>
      </w:r>
      <w:r w:rsidR="001A114C" w:rsidRPr="00985D29">
        <w:t>Ресурсное благо или проклятие?</w:t>
      </w:r>
      <w:bookmarkEnd w:id="3"/>
    </w:p>
    <w:p w:rsidR="000E374C" w:rsidRPr="00650A3D" w:rsidRDefault="00FA47E2" w:rsidP="004E6E96">
      <w:pPr>
        <w:spacing w:after="0" w:line="360" w:lineRule="auto"/>
        <w:ind w:firstLine="851"/>
        <w:jc w:val="both"/>
        <w:rPr>
          <w:sz w:val="28"/>
          <w:szCs w:val="28"/>
        </w:rPr>
      </w:pPr>
      <w:r w:rsidRPr="00650A3D">
        <w:rPr>
          <w:sz w:val="28"/>
          <w:szCs w:val="28"/>
        </w:rPr>
        <w:t xml:space="preserve">В середине </w:t>
      </w:r>
      <w:r w:rsidRPr="00650A3D">
        <w:rPr>
          <w:sz w:val="28"/>
          <w:szCs w:val="28"/>
          <w:lang w:val="en-US"/>
        </w:rPr>
        <w:t>XX</w:t>
      </w:r>
      <w:r w:rsidRPr="00650A3D">
        <w:rPr>
          <w:sz w:val="28"/>
          <w:szCs w:val="28"/>
        </w:rPr>
        <w:t xml:space="preserve"> века, наличие в стране богатой ресурсной базы рассматривалось большинством экономистов в качестве </w:t>
      </w:r>
      <w:r w:rsidR="00C62E37" w:rsidRPr="00650A3D">
        <w:rPr>
          <w:sz w:val="28"/>
          <w:szCs w:val="28"/>
        </w:rPr>
        <w:t>неоспоримого преимущества, способствующего быстрому экономическому росту и дальнейшему процветанию</w:t>
      </w:r>
      <w:r w:rsidR="00D216F1" w:rsidRPr="00650A3D">
        <w:rPr>
          <w:sz w:val="28"/>
          <w:szCs w:val="28"/>
        </w:rPr>
        <w:t xml:space="preserve"> (</w:t>
      </w:r>
      <w:r w:rsidR="00D216F1" w:rsidRPr="00650A3D">
        <w:rPr>
          <w:sz w:val="28"/>
          <w:szCs w:val="28"/>
          <w:lang w:val="en-US"/>
        </w:rPr>
        <w:t>Watkins</w:t>
      </w:r>
      <w:r w:rsidR="00D216F1" w:rsidRPr="00650A3D">
        <w:rPr>
          <w:sz w:val="28"/>
          <w:szCs w:val="28"/>
        </w:rPr>
        <w:t>, 1963</w:t>
      </w:r>
      <w:r w:rsidR="00A47348" w:rsidRPr="00650A3D">
        <w:rPr>
          <w:sz w:val="28"/>
          <w:szCs w:val="28"/>
        </w:rPr>
        <w:t xml:space="preserve">; </w:t>
      </w:r>
      <w:r w:rsidR="00A47348" w:rsidRPr="00650A3D">
        <w:rPr>
          <w:sz w:val="28"/>
          <w:szCs w:val="28"/>
          <w:lang w:val="en-US"/>
        </w:rPr>
        <w:t>Murphy</w:t>
      </w:r>
      <w:r w:rsidR="00A47348" w:rsidRPr="00650A3D">
        <w:rPr>
          <w:sz w:val="28"/>
          <w:szCs w:val="28"/>
        </w:rPr>
        <w:t xml:space="preserve">, </w:t>
      </w:r>
      <w:r w:rsidR="00A47348" w:rsidRPr="00650A3D">
        <w:rPr>
          <w:sz w:val="28"/>
          <w:szCs w:val="28"/>
          <w:lang w:val="en-US"/>
        </w:rPr>
        <w:t>Schleifer</w:t>
      </w:r>
      <w:r w:rsidR="006E6CE1">
        <w:rPr>
          <w:sz w:val="28"/>
          <w:szCs w:val="28"/>
        </w:rPr>
        <w:t xml:space="preserve"> </w:t>
      </w:r>
      <w:r w:rsidR="00A47348" w:rsidRPr="00650A3D">
        <w:rPr>
          <w:sz w:val="28"/>
          <w:szCs w:val="28"/>
          <w:lang w:val="en-US"/>
        </w:rPr>
        <w:t>and</w:t>
      </w:r>
      <w:r w:rsidR="006E6CE1">
        <w:rPr>
          <w:sz w:val="28"/>
          <w:szCs w:val="28"/>
        </w:rPr>
        <w:t xml:space="preserve"> </w:t>
      </w:r>
      <w:r w:rsidR="00A47348" w:rsidRPr="00650A3D">
        <w:rPr>
          <w:sz w:val="28"/>
          <w:szCs w:val="28"/>
          <w:lang w:val="en-US"/>
        </w:rPr>
        <w:t>Vishny</w:t>
      </w:r>
      <w:r w:rsidR="00A47348" w:rsidRPr="00650A3D">
        <w:rPr>
          <w:sz w:val="28"/>
          <w:szCs w:val="28"/>
        </w:rPr>
        <w:t>, 1989.</w:t>
      </w:r>
      <w:r w:rsidR="00D216F1" w:rsidRPr="00650A3D">
        <w:rPr>
          <w:sz w:val="28"/>
          <w:szCs w:val="28"/>
        </w:rPr>
        <w:t>)</w:t>
      </w:r>
      <w:r w:rsidR="00C62E37" w:rsidRPr="00650A3D">
        <w:rPr>
          <w:sz w:val="28"/>
          <w:szCs w:val="28"/>
        </w:rPr>
        <w:t xml:space="preserve">.Однако </w:t>
      </w:r>
      <w:r w:rsidR="00BB3BD5" w:rsidRPr="00650A3D">
        <w:rPr>
          <w:sz w:val="28"/>
          <w:szCs w:val="28"/>
        </w:rPr>
        <w:t xml:space="preserve">к концу </w:t>
      </w:r>
      <w:r w:rsidR="00BB3BD5" w:rsidRPr="00650A3D">
        <w:rPr>
          <w:sz w:val="28"/>
          <w:szCs w:val="28"/>
          <w:lang w:val="en-US"/>
        </w:rPr>
        <w:t>XX</w:t>
      </w:r>
      <w:r w:rsidR="00BB3BD5" w:rsidRPr="00650A3D">
        <w:rPr>
          <w:sz w:val="28"/>
          <w:szCs w:val="28"/>
        </w:rPr>
        <w:t xml:space="preserve"> века многие исследователи-экономисты стали придерживаться иной точки зрения, полагая, что наличие природных ресурсов не столько способствует экономическому росту и успешному развитию, сколько препятствует ему</w:t>
      </w:r>
      <w:r w:rsidR="00D216F1" w:rsidRPr="00650A3D">
        <w:rPr>
          <w:sz w:val="28"/>
          <w:szCs w:val="28"/>
        </w:rPr>
        <w:t xml:space="preserve"> (Аренд, 2006)</w:t>
      </w:r>
      <w:r w:rsidR="00BB3BD5" w:rsidRPr="00650A3D">
        <w:rPr>
          <w:sz w:val="28"/>
          <w:szCs w:val="28"/>
        </w:rPr>
        <w:t xml:space="preserve">. Данный феномен в специализированной литературе получил название «ресурсное проклятие». Как это ни парадоксально, страны, </w:t>
      </w:r>
      <w:r w:rsidR="004911E2" w:rsidRPr="00650A3D">
        <w:rPr>
          <w:sz w:val="28"/>
          <w:szCs w:val="28"/>
        </w:rPr>
        <w:t xml:space="preserve">богатые </w:t>
      </w:r>
      <w:r w:rsidR="000E374C" w:rsidRPr="00650A3D">
        <w:rPr>
          <w:sz w:val="28"/>
          <w:szCs w:val="28"/>
        </w:rPr>
        <w:t>полезными ископаемыми</w:t>
      </w:r>
      <w:r w:rsidR="004911E2" w:rsidRPr="00650A3D">
        <w:rPr>
          <w:sz w:val="28"/>
          <w:szCs w:val="28"/>
        </w:rPr>
        <w:t>, такими как нефть, газ, металлы, зачастую по многим показателям уступают странам, обладающим меньшей ресурсной базой</w:t>
      </w:r>
      <w:r w:rsidR="000E374C" w:rsidRPr="00650A3D">
        <w:rPr>
          <w:sz w:val="28"/>
          <w:szCs w:val="28"/>
        </w:rPr>
        <w:t xml:space="preserve">, и вместо изобилия и процветания избыток природных ресурсов в стране может привести к экономическим и социальным проблемам (Хамфрис, Сакс и Стиглиц, 2011). </w:t>
      </w:r>
    </w:p>
    <w:p w:rsidR="00113BE8" w:rsidRPr="00650A3D" w:rsidRDefault="00734973" w:rsidP="004E6E96">
      <w:pPr>
        <w:spacing w:after="0" w:line="360" w:lineRule="auto"/>
        <w:ind w:firstLine="851"/>
        <w:jc w:val="both"/>
        <w:rPr>
          <w:sz w:val="28"/>
          <w:szCs w:val="28"/>
        </w:rPr>
      </w:pPr>
      <w:r w:rsidRPr="00650A3D">
        <w:rPr>
          <w:sz w:val="28"/>
          <w:szCs w:val="28"/>
        </w:rPr>
        <w:t>Одн</w:t>
      </w:r>
      <w:r w:rsidR="004527F8" w:rsidRPr="00650A3D">
        <w:rPr>
          <w:sz w:val="28"/>
          <w:szCs w:val="28"/>
        </w:rPr>
        <w:t>ако идея о том, что нефть и газ являю</w:t>
      </w:r>
      <w:r w:rsidRPr="00650A3D">
        <w:rPr>
          <w:sz w:val="28"/>
          <w:szCs w:val="28"/>
        </w:rPr>
        <w:t xml:space="preserve">тся неизбежным «проклятием» верна лишь отчасти. Никто не умаляет значение </w:t>
      </w:r>
      <w:r w:rsidR="00AF3867" w:rsidRPr="00650A3D">
        <w:rPr>
          <w:sz w:val="28"/>
          <w:szCs w:val="28"/>
        </w:rPr>
        <w:t xml:space="preserve">природных ресурсов, </w:t>
      </w:r>
      <w:r w:rsidRPr="00650A3D">
        <w:rPr>
          <w:sz w:val="28"/>
          <w:szCs w:val="28"/>
        </w:rPr>
        <w:t>столь ценных не только для экономики добывающей страны, но и в целом для людей</w:t>
      </w:r>
      <w:r w:rsidR="00AF3867" w:rsidRPr="00650A3D">
        <w:rPr>
          <w:sz w:val="28"/>
          <w:szCs w:val="28"/>
        </w:rPr>
        <w:t xml:space="preserve">. </w:t>
      </w:r>
    </w:p>
    <w:p w:rsidR="004527F8" w:rsidRPr="00650A3D" w:rsidRDefault="004527F8" w:rsidP="004E6E96">
      <w:pPr>
        <w:spacing w:after="0" w:line="360" w:lineRule="auto"/>
        <w:ind w:firstLine="851"/>
        <w:jc w:val="both"/>
        <w:rPr>
          <w:sz w:val="28"/>
          <w:szCs w:val="28"/>
        </w:rPr>
      </w:pPr>
      <w:r w:rsidRPr="00650A3D">
        <w:rPr>
          <w:sz w:val="28"/>
          <w:szCs w:val="28"/>
        </w:rPr>
        <w:t>Наличие в стране богатой ресурсной базы дает целый ряд преимуществ. Во-первых, нефтегазовые доходы, получаемые странами-экспорт</w:t>
      </w:r>
      <w:r w:rsidR="005F6A0D" w:rsidRPr="00650A3D">
        <w:rPr>
          <w:sz w:val="28"/>
          <w:szCs w:val="28"/>
        </w:rPr>
        <w:t>ерами от продажи своих ресурсов</w:t>
      </w:r>
      <w:r w:rsidRPr="00650A3D">
        <w:rPr>
          <w:sz w:val="28"/>
          <w:szCs w:val="28"/>
        </w:rPr>
        <w:t xml:space="preserve">, </w:t>
      </w:r>
      <w:r w:rsidR="0047209F" w:rsidRPr="00650A3D">
        <w:rPr>
          <w:sz w:val="28"/>
          <w:szCs w:val="28"/>
        </w:rPr>
        <w:t xml:space="preserve">в краткосрочном периоде </w:t>
      </w:r>
      <w:r w:rsidRPr="00650A3D">
        <w:rPr>
          <w:sz w:val="28"/>
          <w:szCs w:val="28"/>
        </w:rPr>
        <w:t>могут существенно поднять уровень жизни населения за счет финансирования дополнительного потребления как в частном, так и в государственном секторе</w:t>
      </w:r>
      <w:r w:rsidR="00201546" w:rsidRPr="00650A3D">
        <w:rPr>
          <w:sz w:val="28"/>
          <w:szCs w:val="28"/>
        </w:rPr>
        <w:t>(</w:t>
      </w:r>
      <w:r w:rsidR="00113BE8" w:rsidRPr="00650A3D">
        <w:rPr>
          <w:sz w:val="28"/>
          <w:szCs w:val="28"/>
        </w:rPr>
        <w:t>Murphy, Shleifer</w:t>
      </w:r>
      <w:r w:rsidR="006E6CE1">
        <w:rPr>
          <w:sz w:val="28"/>
          <w:szCs w:val="28"/>
        </w:rPr>
        <w:t xml:space="preserve"> </w:t>
      </w:r>
      <w:r w:rsidR="00113BE8" w:rsidRPr="00650A3D">
        <w:rPr>
          <w:sz w:val="28"/>
          <w:szCs w:val="28"/>
        </w:rPr>
        <w:t>and</w:t>
      </w:r>
      <w:r w:rsidR="006E6CE1">
        <w:rPr>
          <w:sz w:val="28"/>
          <w:szCs w:val="28"/>
        </w:rPr>
        <w:t xml:space="preserve"> </w:t>
      </w:r>
      <w:r w:rsidR="00113BE8" w:rsidRPr="00650A3D">
        <w:rPr>
          <w:sz w:val="28"/>
          <w:szCs w:val="28"/>
        </w:rPr>
        <w:t xml:space="preserve">Vishny, 1989; </w:t>
      </w:r>
      <w:r w:rsidR="00201546" w:rsidRPr="00650A3D">
        <w:rPr>
          <w:sz w:val="28"/>
          <w:szCs w:val="28"/>
        </w:rPr>
        <w:t>Аренд, 2006).</w:t>
      </w:r>
      <w:r w:rsidR="006E6CE1">
        <w:rPr>
          <w:sz w:val="28"/>
          <w:szCs w:val="28"/>
        </w:rPr>
        <w:t xml:space="preserve"> </w:t>
      </w:r>
      <w:r w:rsidR="005F6A0D" w:rsidRPr="00650A3D">
        <w:rPr>
          <w:sz w:val="28"/>
          <w:szCs w:val="28"/>
        </w:rPr>
        <w:t>Во-вторых, богатые месторождения</w:t>
      </w:r>
      <w:r w:rsidR="0047209F" w:rsidRPr="00650A3D">
        <w:rPr>
          <w:sz w:val="28"/>
          <w:szCs w:val="28"/>
        </w:rPr>
        <w:t xml:space="preserve"> и хорошая конъюнктура на мировых рынках </w:t>
      </w:r>
      <w:r w:rsidR="0047209F" w:rsidRPr="00650A3D">
        <w:rPr>
          <w:sz w:val="28"/>
          <w:szCs w:val="28"/>
        </w:rPr>
        <w:lastRenderedPageBreak/>
        <w:t xml:space="preserve">сырья способствует </w:t>
      </w:r>
      <w:r w:rsidR="009315F3" w:rsidRPr="00650A3D">
        <w:rPr>
          <w:sz w:val="28"/>
          <w:szCs w:val="28"/>
        </w:rPr>
        <w:t>росту инвестиций, которые могут</w:t>
      </w:r>
      <w:r w:rsidR="009D4D69" w:rsidRPr="00650A3D">
        <w:rPr>
          <w:sz w:val="28"/>
          <w:szCs w:val="28"/>
        </w:rPr>
        <w:t xml:space="preserve"> быть профинансирован</w:t>
      </w:r>
      <w:r w:rsidR="009315F3" w:rsidRPr="00650A3D">
        <w:rPr>
          <w:sz w:val="28"/>
          <w:szCs w:val="28"/>
        </w:rPr>
        <w:t>ы</w:t>
      </w:r>
      <w:r w:rsidR="009D4D69" w:rsidRPr="00650A3D">
        <w:rPr>
          <w:sz w:val="28"/>
          <w:szCs w:val="28"/>
        </w:rPr>
        <w:t xml:space="preserve"> как за счет непосредственного нефтяного дохода, так и за счет займов, которые этим доходом обеспечиваются. </w:t>
      </w:r>
      <w:r w:rsidR="00201546" w:rsidRPr="00650A3D">
        <w:rPr>
          <w:sz w:val="28"/>
          <w:szCs w:val="28"/>
        </w:rPr>
        <w:t xml:space="preserve">Как правило, большинство бедных стран имеют весьма ограниченные возможности доступа к международным инвестициям, и наличие нефти при высоких мировых ценах на сырье может послужить своего рода </w:t>
      </w:r>
      <w:r w:rsidR="009E5D2F" w:rsidRPr="00650A3D">
        <w:rPr>
          <w:sz w:val="28"/>
          <w:szCs w:val="28"/>
        </w:rPr>
        <w:t>залогом или неформальной гарантией для международных инвесторов (Хамфрис, Сакс и Стиглиц, 2011).</w:t>
      </w:r>
      <w:r w:rsidR="009315F3" w:rsidRPr="00650A3D">
        <w:rPr>
          <w:sz w:val="28"/>
          <w:szCs w:val="28"/>
        </w:rPr>
        <w:t xml:space="preserve"> В-третьих, за счет того, что нефтегазовые доходы поступают в бюджет государства, решается проблема недостатка бюджетных средств, необходимых для выполнения государством своих функций по производству общественных благ, в первую очередь, в отраслях социальной сферы и </w:t>
      </w:r>
      <w:r w:rsidR="00097E9E" w:rsidRPr="00650A3D">
        <w:rPr>
          <w:sz w:val="28"/>
          <w:szCs w:val="28"/>
        </w:rPr>
        <w:t xml:space="preserve">в </w:t>
      </w:r>
      <w:r w:rsidR="009315F3" w:rsidRPr="00650A3D">
        <w:rPr>
          <w:sz w:val="28"/>
          <w:szCs w:val="28"/>
        </w:rPr>
        <w:t xml:space="preserve">области инфраструктуры </w:t>
      </w:r>
      <w:r w:rsidR="00113BE8" w:rsidRPr="00650A3D">
        <w:rPr>
          <w:sz w:val="28"/>
          <w:szCs w:val="28"/>
        </w:rPr>
        <w:t>(</w:t>
      </w:r>
      <w:r w:rsidR="00113BE8" w:rsidRPr="00650A3D">
        <w:rPr>
          <w:sz w:val="28"/>
          <w:szCs w:val="28"/>
          <w:lang w:val="en-US"/>
        </w:rPr>
        <w:t>Watkins</w:t>
      </w:r>
      <w:r w:rsidR="00113BE8" w:rsidRPr="00650A3D">
        <w:rPr>
          <w:sz w:val="28"/>
          <w:szCs w:val="28"/>
        </w:rPr>
        <w:t>, 1963).</w:t>
      </w:r>
    </w:p>
    <w:p w:rsidR="00001625" w:rsidRPr="00650A3D" w:rsidRDefault="00001625" w:rsidP="004E6E96">
      <w:pPr>
        <w:spacing w:after="0" w:line="360" w:lineRule="auto"/>
        <w:ind w:firstLine="851"/>
        <w:jc w:val="both"/>
        <w:rPr>
          <w:sz w:val="28"/>
          <w:szCs w:val="28"/>
        </w:rPr>
      </w:pPr>
      <w:r w:rsidRPr="00650A3D">
        <w:rPr>
          <w:sz w:val="28"/>
          <w:szCs w:val="28"/>
        </w:rPr>
        <w:t>В тоже время ресурсозависимые страны сталкиваются с рядом взаимосвязанных проблем, которые оказывают неблагоприятное воздействие на экономику и препятствуют стабильному экономическому росту.</w:t>
      </w:r>
    </w:p>
    <w:p w:rsidR="00001625" w:rsidRPr="00650A3D" w:rsidRDefault="00252532" w:rsidP="004E6E96">
      <w:pPr>
        <w:spacing w:after="0" w:line="360" w:lineRule="auto"/>
        <w:ind w:firstLine="851"/>
        <w:jc w:val="both"/>
        <w:rPr>
          <w:rFonts w:eastAsia="Calibri"/>
          <w:sz w:val="28"/>
          <w:szCs w:val="28"/>
        </w:rPr>
      </w:pPr>
      <w:r w:rsidRPr="00650A3D">
        <w:rPr>
          <w:sz w:val="28"/>
          <w:szCs w:val="28"/>
        </w:rPr>
        <w:t xml:space="preserve">Один из негативных эффектов нефтяного бума в стране – то, что </w:t>
      </w:r>
      <w:r w:rsidR="00827F7E" w:rsidRPr="00650A3D">
        <w:rPr>
          <w:sz w:val="28"/>
          <w:szCs w:val="28"/>
        </w:rPr>
        <w:t xml:space="preserve">возросшие нефтегазовые доходы  стимулируют рост потребления как в частном секторе, так и в государственном, </w:t>
      </w:r>
      <w:r w:rsidR="005F6A0D" w:rsidRPr="00650A3D">
        <w:rPr>
          <w:sz w:val="28"/>
          <w:szCs w:val="28"/>
        </w:rPr>
        <w:t xml:space="preserve">но </w:t>
      </w:r>
      <w:r w:rsidR="00827F7E" w:rsidRPr="00650A3D">
        <w:rPr>
          <w:sz w:val="28"/>
          <w:szCs w:val="28"/>
        </w:rPr>
        <w:t xml:space="preserve">одновременно с этим  </w:t>
      </w:r>
      <w:r w:rsidRPr="00650A3D">
        <w:rPr>
          <w:sz w:val="28"/>
          <w:szCs w:val="28"/>
        </w:rPr>
        <w:t>резкий приток в страну иностранной валюты от продажи сырья приводит к повышению реального курса национальной</w:t>
      </w:r>
      <w:r w:rsidR="00827F7E" w:rsidRPr="00650A3D">
        <w:rPr>
          <w:sz w:val="28"/>
          <w:szCs w:val="28"/>
        </w:rPr>
        <w:t xml:space="preserve"> валюты. Повышение курса национальной валюты</w:t>
      </w:r>
      <w:r w:rsidRPr="00650A3D">
        <w:rPr>
          <w:sz w:val="28"/>
          <w:szCs w:val="28"/>
        </w:rPr>
        <w:t xml:space="preserve"> в свою очередь </w:t>
      </w:r>
      <w:r w:rsidR="00BB69E3" w:rsidRPr="00650A3D">
        <w:rPr>
          <w:sz w:val="28"/>
          <w:szCs w:val="28"/>
        </w:rPr>
        <w:t>способствует росту цен</w:t>
      </w:r>
      <w:r w:rsidR="00827F7E" w:rsidRPr="00650A3D">
        <w:rPr>
          <w:sz w:val="28"/>
          <w:szCs w:val="28"/>
        </w:rPr>
        <w:t>на отечественные товары</w:t>
      </w:r>
      <w:r w:rsidR="006E6CE1">
        <w:rPr>
          <w:sz w:val="28"/>
          <w:szCs w:val="28"/>
        </w:rPr>
        <w:t xml:space="preserve"> </w:t>
      </w:r>
      <w:r w:rsidRPr="00650A3D">
        <w:rPr>
          <w:sz w:val="28"/>
          <w:szCs w:val="28"/>
        </w:rPr>
        <w:t xml:space="preserve">несырьевых секторов </w:t>
      </w:r>
      <w:r w:rsidR="00BB69E3" w:rsidRPr="00650A3D">
        <w:rPr>
          <w:sz w:val="28"/>
          <w:szCs w:val="28"/>
        </w:rPr>
        <w:t>экономики и снижает их конкурентоспособность по отношению к импортной продукции</w:t>
      </w:r>
      <w:r w:rsidR="00827F7E" w:rsidRPr="00650A3D">
        <w:rPr>
          <w:sz w:val="28"/>
          <w:szCs w:val="28"/>
        </w:rPr>
        <w:t>. Данное явление известно как «голландская болезнь»; оно получило свое название в 1970-е годы, когда в результате открытия нового месторождения газа Нидерланды столкнулись с проблемой резкого повышения курса национальной валюты, в связи с чем в упадок пришел традиционный экспортный сектор экономики – промышленный (</w:t>
      </w:r>
      <w:r w:rsidR="005F5600" w:rsidRPr="00650A3D">
        <w:rPr>
          <w:sz w:val="28"/>
          <w:szCs w:val="28"/>
          <w:lang w:val="en-US"/>
        </w:rPr>
        <w:t>Corden</w:t>
      </w:r>
      <w:r w:rsidR="005F5600" w:rsidRPr="00650A3D">
        <w:rPr>
          <w:sz w:val="28"/>
          <w:szCs w:val="28"/>
        </w:rPr>
        <w:t xml:space="preserve">, 1984). В </w:t>
      </w:r>
      <w:r w:rsidR="005F5600" w:rsidRPr="00650A3D">
        <w:rPr>
          <w:sz w:val="28"/>
          <w:szCs w:val="28"/>
        </w:rPr>
        <w:lastRenderedPageBreak/>
        <w:t>последствие, о странах с богатой сырьевой базой, в которых наблюдаются схожие явления (ухудшение ситуации в других отраслях экономики), стали говорить, что они подхватили «голландскую болезнь» (</w:t>
      </w:r>
      <w:r w:rsidR="005F5600" w:rsidRPr="00650A3D">
        <w:rPr>
          <w:sz w:val="28"/>
          <w:szCs w:val="28"/>
          <w:lang w:val="en-US"/>
        </w:rPr>
        <w:t>Ebrahim</w:t>
      </w:r>
      <w:r w:rsidR="005F5600" w:rsidRPr="00650A3D">
        <w:rPr>
          <w:sz w:val="28"/>
          <w:szCs w:val="28"/>
        </w:rPr>
        <w:t>-</w:t>
      </w:r>
      <w:r w:rsidR="005F5600" w:rsidRPr="00650A3D">
        <w:rPr>
          <w:sz w:val="28"/>
          <w:szCs w:val="28"/>
          <w:lang w:val="en-US"/>
        </w:rPr>
        <w:t>Zadeh</w:t>
      </w:r>
      <w:r w:rsidR="005F5600" w:rsidRPr="00650A3D">
        <w:rPr>
          <w:sz w:val="28"/>
          <w:szCs w:val="28"/>
        </w:rPr>
        <w:t xml:space="preserve">, 2003). </w:t>
      </w:r>
      <w:r w:rsidR="003E6CCD" w:rsidRPr="00650A3D">
        <w:rPr>
          <w:sz w:val="28"/>
          <w:szCs w:val="28"/>
        </w:rPr>
        <w:t xml:space="preserve">При </w:t>
      </w:r>
      <w:r w:rsidR="00365D61" w:rsidRPr="00650A3D">
        <w:rPr>
          <w:sz w:val="28"/>
          <w:szCs w:val="28"/>
        </w:rPr>
        <w:t>этом</w:t>
      </w:r>
      <w:r w:rsidR="003E6CCD" w:rsidRPr="00650A3D">
        <w:rPr>
          <w:sz w:val="28"/>
          <w:szCs w:val="28"/>
        </w:rPr>
        <w:t xml:space="preserve"> в первую</w:t>
      </w:r>
      <w:r w:rsidR="006E6CE1">
        <w:rPr>
          <w:sz w:val="28"/>
          <w:szCs w:val="28"/>
        </w:rPr>
        <w:t xml:space="preserve"> </w:t>
      </w:r>
      <w:r w:rsidR="003E6CCD" w:rsidRPr="00650A3D">
        <w:rPr>
          <w:sz w:val="28"/>
          <w:szCs w:val="28"/>
        </w:rPr>
        <w:t>очере</w:t>
      </w:r>
      <w:r w:rsidR="00B00D8A" w:rsidRPr="00650A3D">
        <w:rPr>
          <w:sz w:val="28"/>
          <w:szCs w:val="28"/>
        </w:rPr>
        <w:t>дь страдают именно сектора торгуемых товаров (промышленность, сельск</w:t>
      </w:r>
      <w:r w:rsidR="00890597" w:rsidRPr="00650A3D">
        <w:rPr>
          <w:sz w:val="28"/>
          <w:szCs w:val="28"/>
        </w:rPr>
        <w:t>ое хозяйство), то есть выходящих</w:t>
      </w:r>
      <w:r w:rsidR="00B00D8A" w:rsidRPr="00650A3D">
        <w:rPr>
          <w:sz w:val="28"/>
          <w:szCs w:val="28"/>
        </w:rPr>
        <w:t xml:space="preserve"> на внешний рынок. Одновременно с этим в сырьевой сектор перетекают и внутренние ресурсы рабочей силы (эффект перемещения ресурсов), что также обходится дорого экономике, поскольку приходится переучивать новых работников и находить для них рабочие места (</w:t>
      </w:r>
      <w:r w:rsidR="00B00D8A" w:rsidRPr="00650A3D">
        <w:rPr>
          <w:sz w:val="28"/>
          <w:szCs w:val="28"/>
          <w:lang w:val="en-US"/>
        </w:rPr>
        <w:t>Corden</w:t>
      </w:r>
      <w:r w:rsidR="00B00D8A" w:rsidRPr="00650A3D">
        <w:rPr>
          <w:sz w:val="28"/>
          <w:szCs w:val="28"/>
        </w:rPr>
        <w:t>, 1984). Кроме того, поскольку экспортные доходы добывающего сектора распределяются менее равномерно, нежели доходы сельскохозяйственной отрасли и промышленности, серьезные дисбаланс между отраслями приводит к расслоению общества и росту неравенства в стране (Хамфрис, Сакс и Стиглиц, 2011).</w:t>
      </w:r>
      <w:r w:rsidR="006E6CE1">
        <w:rPr>
          <w:sz w:val="28"/>
          <w:szCs w:val="28"/>
        </w:rPr>
        <w:t xml:space="preserve"> </w:t>
      </w:r>
      <w:r w:rsidR="005F6A0D" w:rsidRPr="00650A3D">
        <w:rPr>
          <w:sz w:val="28"/>
          <w:szCs w:val="28"/>
        </w:rPr>
        <w:t>Попытки же проведения</w:t>
      </w:r>
      <w:r w:rsidR="006E6CE1">
        <w:rPr>
          <w:sz w:val="28"/>
          <w:szCs w:val="28"/>
        </w:rPr>
        <w:t xml:space="preserve"> </w:t>
      </w:r>
      <w:r w:rsidR="005B35F2" w:rsidRPr="00650A3D">
        <w:rPr>
          <w:sz w:val="28"/>
          <w:szCs w:val="28"/>
        </w:rPr>
        <w:t xml:space="preserve">государственной политики по сдерживанию </w:t>
      </w:r>
      <w:r w:rsidR="00365D61" w:rsidRPr="00650A3D">
        <w:rPr>
          <w:sz w:val="28"/>
          <w:szCs w:val="28"/>
        </w:rPr>
        <w:t>курса национальной валюты с целью предотвращения негативных последствий, указанных выше, приводя</w:t>
      </w:r>
      <w:r w:rsidR="00365D61" w:rsidRPr="00650A3D">
        <w:rPr>
          <w:rFonts w:eastAsia="Calibri"/>
          <w:sz w:val="28"/>
          <w:szCs w:val="28"/>
        </w:rPr>
        <w:t xml:space="preserve">т к росту объемов золотовалютных резервов страны и, как следствие, дополнительной денежной эмиссии. В результате ускоряется инфляция, реальный </w:t>
      </w:r>
      <w:r w:rsidR="00365D61" w:rsidRPr="00650A3D">
        <w:rPr>
          <w:sz w:val="28"/>
          <w:szCs w:val="28"/>
        </w:rPr>
        <w:t xml:space="preserve">эффективный </w:t>
      </w:r>
      <w:r w:rsidR="00365D61" w:rsidRPr="00650A3D">
        <w:rPr>
          <w:rFonts w:eastAsia="Calibri"/>
          <w:sz w:val="28"/>
          <w:szCs w:val="28"/>
        </w:rPr>
        <w:t>курс национальной валюты</w:t>
      </w:r>
      <w:r w:rsidR="00365D61" w:rsidRPr="00650A3D">
        <w:rPr>
          <w:sz w:val="28"/>
          <w:szCs w:val="28"/>
        </w:rPr>
        <w:t xml:space="preserve"> все-таки растет, а </w:t>
      </w:r>
      <w:r w:rsidR="00365D61" w:rsidRPr="00650A3D">
        <w:rPr>
          <w:rFonts w:eastAsia="Calibri"/>
          <w:sz w:val="28"/>
          <w:szCs w:val="28"/>
        </w:rPr>
        <w:t>темпы роста ВВП замедляются, что приводит к снижению конкурентоспособности экономики страны в целом</w:t>
      </w:r>
      <w:r w:rsidR="00365D61" w:rsidRPr="00650A3D">
        <w:rPr>
          <w:sz w:val="28"/>
          <w:szCs w:val="28"/>
        </w:rPr>
        <w:t xml:space="preserve"> (Кудрин, 2006а)</w:t>
      </w:r>
      <w:r w:rsidR="00365D61" w:rsidRPr="00650A3D">
        <w:rPr>
          <w:rFonts w:eastAsia="Calibri"/>
          <w:sz w:val="28"/>
          <w:szCs w:val="28"/>
        </w:rPr>
        <w:t>.</w:t>
      </w:r>
    </w:p>
    <w:p w:rsidR="00A868F2" w:rsidRPr="00650A3D" w:rsidRDefault="00A868F2" w:rsidP="004E6E96">
      <w:pPr>
        <w:spacing w:after="0" w:line="360" w:lineRule="auto"/>
        <w:ind w:firstLine="851"/>
        <w:jc w:val="both"/>
        <w:rPr>
          <w:sz w:val="28"/>
          <w:szCs w:val="28"/>
        </w:rPr>
      </w:pPr>
      <w:r w:rsidRPr="00650A3D">
        <w:rPr>
          <w:rFonts w:eastAsia="Calibri"/>
          <w:sz w:val="28"/>
          <w:szCs w:val="28"/>
        </w:rPr>
        <w:t>Если проблема «голландской болезни» возникает из-за количества поступающих в страну средств от продажи природных ресурсов, то с временными периодами поступления этих доходов связана другая проблема, а именно, волатильность</w:t>
      </w:r>
      <w:r w:rsidR="008F576D" w:rsidRPr="00650A3D">
        <w:rPr>
          <w:rFonts w:eastAsia="Calibri"/>
          <w:sz w:val="28"/>
          <w:szCs w:val="28"/>
        </w:rPr>
        <w:t>. Волатильность доходов имеет два основных источника: колебания объемов добычи полезных ископаемых  и колебания стоимости ресурсов на мировых рынках (</w:t>
      </w:r>
      <w:r w:rsidR="008F576D" w:rsidRPr="00650A3D">
        <w:rPr>
          <w:rFonts w:eastAsia="Calibri"/>
          <w:sz w:val="28"/>
          <w:szCs w:val="28"/>
          <w:lang w:val="en-US"/>
        </w:rPr>
        <w:t>Auty</w:t>
      </w:r>
      <w:r w:rsidR="008F576D" w:rsidRPr="00650A3D">
        <w:rPr>
          <w:rFonts w:eastAsia="Calibri"/>
          <w:sz w:val="28"/>
          <w:szCs w:val="28"/>
        </w:rPr>
        <w:t xml:space="preserve">, 2001). И если изменения в ту или иную сторону объемов производства можно предсказать с достаточной долей вероятности на основании проведения </w:t>
      </w:r>
      <w:r w:rsidR="008F576D" w:rsidRPr="00650A3D">
        <w:rPr>
          <w:rFonts w:eastAsia="Calibri"/>
          <w:sz w:val="28"/>
          <w:szCs w:val="28"/>
        </w:rPr>
        <w:lastRenderedPageBreak/>
        <w:t>анализа</w:t>
      </w:r>
      <w:r w:rsidR="00465CC6" w:rsidRPr="00650A3D">
        <w:rPr>
          <w:rFonts w:eastAsia="Calibri"/>
          <w:sz w:val="28"/>
          <w:szCs w:val="28"/>
        </w:rPr>
        <w:t xml:space="preserve"> месторождения, технологий добычи и т.д., то мировые цены на сырье подвержены гораздо большей флуктуации, для них характерна крайняя нестабильность. В результате возникает серьезная проблема долгосрочного (и даже среднесрочного)</w:t>
      </w:r>
      <w:r w:rsidR="006E6CE1">
        <w:rPr>
          <w:rFonts w:eastAsia="Calibri"/>
          <w:sz w:val="28"/>
          <w:szCs w:val="28"/>
        </w:rPr>
        <w:t xml:space="preserve"> </w:t>
      </w:r>
      <w:r w:rsidR="00465CC6" w:rsidRPr="00650A3D">
        <w:rPr>
          <w:rFonts w:eastAsia="Calibri"/>
          <w:sz w:val="28"/>
          <w:szCs w:val="28"/>
        </w:rPr>
        <w:t>планирования бюджета</w:t>
      </w:r>
      <w:r w:rsidR="00D105F3" w:rsidRPr="00650A3D">
        <w:rPr>
          <w:rFonts w:eastAsia="Calibri"/>
          <w:sz w:val="28"/>
          <w:szCs w:val="28"/>
        </w:rPr>
        <w:t xml:space="preserve">, что приводит к чередованию «тучных» и «тощих» лет </w:t>
      </w:r>
      <w:r w:rsidR="00D105F3" w:rsidRPr="00650A3D">
        <w:rPr>
          <w:sz w:val="28"/>
          <w:szCs w:val="28"/>
        </w:rPr>
        <w:t>(Хамфрис, Сакс и Стиглиц, 2011). В периоды благоприятной внешнеэкономической конъюнктуры правительства, как правило, начинают тратить полученные сверхдоходы, зачастую стимулируя неэффективные расходы. Напротив, годы спада цен на мировых ресурсных рынках приводят к необходимости сокращения бюджетных расходов, однако сделать это безболезненно практически невозможно, таким образом, возникают серьезные политические, экономические и социальные проблемы (Кудрин, 2006а)</w:t>
      </w:r>
      <w:r w:rsidR="00D105F3" w:rsidRPr="00650A3D">
        <w:rPr>
          <w:rFonts w:eastAsia="Calibri"/>
          <w:sz w:val="28"/>
          <w:szCs w:val="28"/>
        </w:rPr>
        <w:t>. Кроме того, диапазон этих колебаний может существенно вырасти за счет международных заимствований. Так, в благоприятных рыночных условиях, когда цены на нефть растут</w:t>
      </w:r>
      <w:r w:rsidR="00621549" w:rsidRPr="00650A3D">
        <w:rPr>
          <w:rFonts w:eastAsia="Calibri"/>
          <w:sz w:val="28"/>
          <w:szCs w:val="28"/>
        </w:rPr>
        <w:t xml:space="preserve">, с целью усиления темпов роста и развития страна занимает денежные средства за границей под гарантию будущих высоких нефтяных доходов. Но когда происходит шок, и цены на ресурсы резко падают, а кредиторы тем не менее требуют выплат с процентами, ресурсодобывающие страны вынуждены еще больше сокращать расходы, тем самым увеличивая общую амплитуду спада </w:t>
      </w:r>
      <w:r w:rsidR="00621549" w:rsidRPr="00650A3D">
        <w:rPr>
          <w:sz w:val="28"/>
          <w:szCs w:val="28"/>
        </w:rPr>
        <w:t>(Хамфрис, Сакс и Стиглиц, 2011). Ярким примером такой ситуации послужил долговой кризис, обрушившийся на целый ряд нефтедобывающих стран в 1980-е годы, когда после периода высоких цен на нефть в 1970-е годы произошло их резкое падение, которое привело к абсо</w:t>
      </w:r>
      <w:r w:rsidR="007A1C6E" w:rsidRPr="00650A3D">
        <w:rPr>
          <w:sz w:val="28"/>
          <w:szCs w:val="28"/>
        </w:rPr>
        <w:t>лютной неплатежеспособности ряда</w:t>
      </w:r>
      <w:r w:rsidR="00621549" w:rsidRPr="00650A3D">
        <w:rPr>
          <w:sz w:val="28"/>
          <w:szCs w:val="28"/>
        </w:rPr>
        <w:t xml:space="preserve"> стран (</w:t>
      </w:r>
      <w:r w:rsidR="00621549" w:rsidRPr="00650A3D">
        <w:rPr>
          <w:sz w:val="28"/>
          <w:szCs w:val="28"/>
          <w:lang w:val="en-US"/>
        </w:rPr>
        <w:t>Auty</w:t>
      </w:r>
      <w:r w:rsidR="00621549" w:rsidRPr="00650A3D">
        <w:rPr>
          <w:sz w:val="28"/>
          <w:szCs w:val="28"/>
        </w:rPr>
        <w:t>, 2001; Кудрин, 2006а).</w:t>
      </w:r>
      <w:r w:rsidR="007A1C6E" w:rsidRPr="00650A3D">
        <w:rPr>
          <w:sz w:val="28"/>
          <w:szCs w:val="28"/>
        </w:rPr>
        <w:t xml:space="preserve"> Таким образом, очевидно, что «жизнь не по средствам» в условиях изменчивости и непредсказуемости мировых цен на природные ресурсы является серьезным дестабилизирующим фактором и препятствует </w:t>
      </w:r>
      <w:r w:rsidR="007A1C6E" w:rsidRPr="00650A3D">
        <w:rPr>
          <w:sz w:val="28"/>
          <w:szCs w:val="28"/>
        </w:rPr>
        <w:lastRenderedPageBreak/>
        <w:t xml:space="preserve">проведению эффективной фискальной и общей макроэкономической политики. </w:t>
      </w:r>
    </w:p>
    <w:p w:rsidR="00D12F35" w:rsidRPr="00650A3D" w:rsidRDefault="00D12F35" w:rsidP="004E6E96">
      <w:pPr>
        <w:spacing w:after="0" w:line="360" w:lineRule="auto"/>
        <w:ind w:firstLine="851"/>
        <w:jc w:val="both"/>
        <w:rPr>
          <w:sz w:val="28"/>
          <w:szCs w:val="28"/>
        </w:rPr>
      </w:pPr>
      <w:r w:rsidRPr="00650A3D">
        <w:rPr>
          <w:sz w:val="28"/>
          <w:szCs w:val="28"/>
        </w:rPr>
        <w:t xml:space="preserve">Еще одной серьезной проблемой, вытекающей из специализации </w:t>
      </w:r>
      <w:r w:rsidR="00890597" w:rsidRPr="00650A3D">
        <w:rPr>
          <w:sz w:val="28"/>
          <w:szCs w:val="28"/>
        </w:rPr>
        <w:t xml:space="preserve">страны </w:t>
      </w:r>
      <w:r w:rsidRPr="00650A3D">
        <w:rPr>
          <w:sz w:val="28"/>
          <w:szCs w:val="28"/>
        </w:rPr>
        <w:t xml:space="preserve">лишь на сырьевом секторе, являются недостаточные инвестиции в образование. </w:t>
      </w:r>
      <w:r w:rsidR="00133A72" w:rsidRPr="00650A3D">
        <w:rPr>
          <w:sz w:val="28"/>
          <w:szCs w:val="28"/>
        </w:rPr>
        <w:t>На первый взгляд это утверждение кажется абсолютно абсурдным, однако</w:t>
      </w:r>
      <w:r w:rsidR="006E6CE1">
        <w:rPr>
          <w:sz w:val="28"/>
          <w:szCs w:val="28"/>
        </w:rPr>
        <w:t xml:space="preserve"> </w:t>
      </w:r>
      <w:r w:rsidR="00133A72" w:rsidRPr="00650A3D">
        <w:rPr>
          <w:sz w:val="28"/>
          <w:szCs w:val="28"/>
        </w:rPr>
        <w:t>исследования показывают, что из всех отраслей в богатых ресурсами странах в процентном соотношении наиболее недофинансированным оказывается именно образование (</w:t>
      </w:r>
      <w:r w:rsidR="00133A72" w:rsidRPr="00650A3D">
        <w:rPr>
          <w:sz w:val="28"/>
          <w:szCs w:val="28"/>
          <w:lang w:val="en-US"/>
        </w:rPr>
        <w:t>Gylfason</w:t>
      </w:r>
      <w:r w:rsidR="00133A72" w:rsidRPr="00650A3D">
        <w:rPr>
          <w:sz w:val="28"/>
          <w:szCs w:val="28"/>
        </w:rPr>
        <w:t>, 2001). Полагаясь на высокие доходы от продажи природных ресурсов, государство, почему-то склонно забывать о потребности в разносторонне развитой высококвалифицированной рабочей силе, которая могла бы участвовать в развитии отстающих отраслей и тем самым способствовать диверсификации экономики (</w:t>
      </w:r>
      <w:r w:rsidR="00133A72" w:rsidRPr="00650A3D">
        <w:rPr>
          <w:sz w:val="28"/>
          <w:szCs w:val="28"/>
          <w:lang w:val="en-US"/>
        </w:rPr>
        <w:t>Gylfason</w:t>
      </w:r>
      <w:r w:rsidR="00133A72" w:rsidRPr="00650A3D">
        <w:rPr>
          <w:sz w:val="28"/>
          <w:szCs w:val="28"/>
        </w:rPr>
        <w:t>, 2001; Хамфрис, Сакс и Стиглиц, 2011). И хотя в краткосрочном периоде последствия такого недофинансирования несущественны, в долгосрочной перспективе</w:t>
      </w:r>
      <w:r w:rsidR="004868D8" w:rsidRPr="00650A3D">
        <w:rPr>
          <w:sz w:val="28"/>
          <w:szCs w:val="28"/>
        </w:rPr>
        <w:t xml:space="preserve"> экономия на образовании неизбежно приведет к спаду и застою в развитии. </w:t>
      </w:r>
    </w:p>
    <w:p w:rsidR="004868D8" w:rsidRPr="00650A3D" w:rsidRDefault="004868D8" w:rsidP="004E6E96">
      <w:pPr>
        <w:spacing w:after="0" w:line="360" w:lineRule="auto"/>
        <w:ind w:firstLine="851"/>
        <w:jc w:val="both"/>
        <w:rPr>
          <w:sz w:val="28"/>
          <w:szCs w:val="28"/>
        </w:rPr>
      </w:pPr>
      <w:r w:rsidRPr="00650A3D">
        <w:rPr>
          <w:sz w:val="28"/>
          <w:szCs w:val="28"/>
        </w:rPr>
        <w:t>Помимо экономических и финансовых проблем</w:t>
      </w:r>
      <w:r w:rsidR="007B787E" w:rsidRPr="00650A3D">
        <w:rPr>
          <w:sz w:val="28"/>
          <w:szCs w:val="28"/>
        </w:rPr>
        <w:t xml:space="preserve"> зависимость страны от экспорта невозобновляемых ресурсов ассоциируется и с целым рядом политических процессов, которые негативно влияют на общее развитие страны. Как показывает опыт, страны с сырьевыми экономиками более подвержены таким явлениям, как коррупция, погоня за рентой, ограничение политических свобод, создание недемократических режимов и даже гражданские войны </w:t>
      </w:r>
      <w:r w:rsidR="007669D8" w:rsidRPr="00650A3D">
        <w:rPr>
          <w:sz w:val="28"/>
          <w:szCs w:val="28"/>
        </w:rPr>
        <w:t>(</w:t>
      </w:r>
      <w:r w:rsidR="007669D8" w:rsidRPr="00650A3D">
        <w:rPr>
          <w:sz w:val="28"/>
          <w:szCs w:val="28"/>
          <w:lang w:val="en-US"/>
        </w:rPr>
        <w:t>Gylfason</w:t>
      </w:r>
      <w:r w:rsidR="007669D8" w:rsidRPr="00650A3D">
        <w:rPr>
          <w:sz w:val="28"/>
          <w:szCs w:val="28"/>
        </w:rPr>
        <w:t xml:space="preserve">, 2001; </w:t>
      </w:r>
      <w:r w:rsidR="007669D8" w:rsidRPr="00650A3D">
        <w:rPr>
          <w:sz w:val="28"/>
          <w:szCs w:val="28"/>
          <w:lang w:val="en-US"/>
        </w:rPr>
        <w:t>Tsui</w:t>
      </w:r>
      <w:r w:rsidR="007669D8" w:rsidRPr="00650A3D">
        <w:rPr>
          <w:sz w:val="28"/>
          <w:szCs w:val="28"/>
        </w:rPr>
        <w:t>, 2005; Хамфрис, Сакс и Стиглиц, 2011). Очевидно, что все эти явления не только подрывают</w:t>
      </w:r>
      <w:r w:rsidR="006F20C0" w:rsidRPr="00650A3D">
        <w:rPr>
          <w:sz w:val="28"/>
          <w:szCs w:val="28"/>
        </w:rPr>
        <w:t xml:space="preserve"> основы экономики, но и в целом оказывают самое негативное влияние на развитие страны и жизнь людей.</w:t>
      </w:r>
    </w:p>
    <w:p w:rsidR="00E56FB4" w:rsidRPr="00650A3D" w:rsidRDefault="00A60B1D" w:rsidP="00605E0C">
      <w:pPr>
        <w:spacing w:after="0" w:line="360" w:lineRule="auto"/>
        <w:ind w:firstLine="851"/>
        <w:jc w:val="both"/>
        <w:rPr>
          <w:sz w:val="28"/>
          <w:szCs w:val="28"/>
        </w:rPr>
      </w:pPr>
      <w:r w:rsidRPr="00650A3D">
        <w:rPr>
          <w:sz w:val="28"/>
          <w:szCs w:val="28"/>
        </w:rPr>
        <w:t xml:space="preserve">Однако, безусловно, говорить, что обладание страной богатой ресурсной базой является неизбежным злом, которое не только ведет к разрушению экономической системы страны, но и наносит непоправимый </w:t>
      </w:r>
      <w:r w:rsidRPr="00650A3D">
        <w:rPr>
          <w:sz w:val="28"/>
          <w:szCs w:val="28"/>
        </w:rPr>
        <w:lastRenderedPageBreak/>
        <w:t xml:space="preserve">вред политической и социальной сферам, было бы ошибочно. </w:t>
      </w:r>
      <w:r w:rsidR="00AF3867" w:rsidRPr="00650A3D">
        <w:rPr>
          <w:sz w:val="28"/>
          <w:szCs w:val="28"/>
        </w:rPr>
        <w:t>Сущность «проклятия» заключается лишь в том, что показатели стран с сырьевыми экономиками сильно отстают от потенциала этих стран (Хамфрис, Сакс и Стиглиц, 2011), от того уровня экономического, политического, социального развития, которого они бы могли</w:t>
      </w:r>
      <w:r w:rsidR="006E6CE1">
        <w:rPr>
          <w:sz w:val="28"/>
          <w:szCs w:val="28"/>
        </w:rPr>
        <w:t xml:space="preserve"> </w:t>
      </w:r>
      <w:r w:rsidR="00AF3867" w:rsidRPr="00650A3D">
        <w:rPr>
          <w:sz w:val="28"/>
          <w:szCs w:val="28"/>
        </w:rPr>
        <w:t xml:space="preserve">достичь, если бы не столь сильно зависели от экспорта сырья. Очевидно, что при соответствующих экономических и политических условиях </w:t>
      </w:r>
      <w:r w:rsidR="004868D8" w:rsidRPr="00650A3D">
        <w:rPr>
          <w:sz w:val="28"/>
          <w:szCs w:val="28"/>
        </w:rPr>
        <w:t>и проведению эффективной политики по управлению нефтегазовыми доходами наличие природных ресурсов может</w:t>
      </w:r>
      <w:r w:rsidRPr="00650A3D">
        <w:rPr>
          <w:sz w:val="28"/>
          <w:szCs w:val="28"/>
        </w:rPr>
        <w:t>, напротив,</w:t>
      </w:r>
      <w:r w:rsidR="00AF3867" w:rsidRPr="00650A3D">
        <w:rPr>
          <w:sz w:val="28"/>
          <w:szCs w:val="28"/>
        </w:rPr>
        <w:t xml:space="preserve"> послужить трамплином для развития страны и способствовать долгосрочному росту. </w:t>
      </w:r>
      <w:r w:rsidR="00176B5D" w:rsidRPr="00650A3D">
        <w:rPr>
          <w:sz w:val="28"/>
          <w:szCs w:val="28"/>
        </w:rPr>
        <w:t>В связи с этим в следующей части моей работы будут освещены основные механизмы, благодаря которым добывающие страны смогут снять с себя «ресурсное проклятие» и одновременно повысить эффективность управления природными ресурсами.</w:t>
      </w:r>
    </w:p>
    <w:p w:rsidR="00176B5D" w:rsidRPr="00985D29" w:rsidRDefault="00176B5D" w:rsidP="00AD79D2">
      <w:pPr>
        <w:pStyle w:val="2"/>
      </w:pPr>
      <w:bookmarkStart w:id="4" w:name="_Toc356172735"/>
      <w:r w:rsidRPr="00985D29">
        <w:t xml:space="preserve">1.2 </w:t>
      </w:r>
      <w:r w:rsidR="0016271B" w:rsidRPr="00985D29">
        <w:t>Механизмы борьбы с «ресурсным проклятием» и стабилизации экономики</w:t>
      </w:r>
      <w:bookmarkEnd w:id="4"/>
    </w:p>
    <w:p w:rsidR="0098119B" w:rsidRPr="00650A3D" w:rsidRDefault="00CB7C64" w:rsidP="004E6E96">
      <w:pPr>
        <w:spacing w:after="0" w:line="360" w:lineRule="auto"/>
        <w:ind w:firstLine="851"/>
        <w:jc w:val="both"/>
        <w:rPr>
          <w:sz w:val="28"/>
          <w:szCs w:val="28"/>
        </w:rPr>
      </w:pPr>
      <w:r w:rsidRPr="00650A3D">
        <w:rPr>
          <w:sz w:val="28"/>
          <w:szCs w:val="28"/>
        </w:rPr>
        <w:t>Для того,</w:t>
      </w:r>
      <w:r w:rsidR="005B50DA" w:rsidRPr="00650A3D">
        <w:rPr>
          <w:sz w:val="28"/>
          <w:szCs w:val="28"/>
        </w:rPr>
        <w:t xml:space="preserve"> чтобы </w:t>
      </w:r>
      <w:r w:rsidR="00BC1B2C" w:rsidRPr="00650A3D">
        <w:rPr>
          <w:sz w:val="28"/>
          <w:szCs w:val="28"/>
        </w:rPr>
        <w:t xml:space="preserve">получать от </w:t>
      </w:r>
      <w:r w:rsidR="005B50DA" w:rsidRPr="00650A3D">
        <w:rPr>
          <w:sz w:val="28"/>
          <w:szCs w:val="28"/>
        </w:rPr>
        <w:t>природны</w:t>
      </w:r>
      <w:r w:rsidR="00BC1B2C" w:rsidRPr="00650A3D">
        <w:rPr>
          <w:sz w:val="28"/>
          <w:szCs w:val="28"/>
        </w:rPr>
        <w:t>х</w:t>
      </w:r>
      <w:r w:rsidR="005B50DA" w:rsidRPr="00650A3D">
        <w:rPr>
          <w:sz w:val="28"/>
          <w:szCs w:val="28"/>
        </w:rPr>
        <w:t xml:space="preserve"> ресурс</w:t>
      </w:r>
      <w:r w:rsidR="00BC1B2C" w:rsidRPr="00650A3D">
        <w:rPr>
          <w:sz w:val="28"/>
          <w:szCs w:val="28"/>
        </w:rPr>
        <w:t xml:space="preserve">ов все, что они могут дать, необходимо проводить политику, в основу которой будет заложена стратегия долгосрочного национального развития, учитывающая все риски, связанные с </w:t>
      </w:r>
      <w:r w:rsidR="0098119B" w:rsidRPr="00650A3D">
        <w:rPr>
          <w:sz w:val="28"/>
          <w:szCs w:val="28"/>
        </w:rPr>
        <w:t>сырьевым сектором, а также направленная на инвестирование получаемых нефтяных доходов в другие сектора экономики с целью ее диверсификации (Хамфрис, Сакс и Стиглиц, 2011).</w:t>
      </w:r>
      <w:r w:rsidR="006E6CE1">
        <w:rPr>
          <w:sz w:val="28"/>
          <w:szCs w:val="28"/>
        </w:rPr>
        <w:t xml:space="preserve"> </w:t>
      </w:r>
      <w:r w:rsidR="00B370BE" w:rsidRPr="00650A3D">
        <w:rPr>
          <w:sz w:val="28"/>
          <w:szCs w:val="28"/>
        </w:rPr>
        <w:t xml:space="preserve">Очевидно, что в основу этой стратегии должна быть заложена модель эффективного и рационального управления нефтегазовым доходами, которая предусматривала бы основные направления и механизмы расходования полученных от сырьевого сектора доходов, а также аккумулирование и накопление сверхдоходов (в периоды благоприятной внешнеэкономической конъюнктуры) и их последующее инвестирование с </w:t>
      </w:r>
      <w:r w:rsidR="00B370BE" w:rsidRPr="00650A3D">
        <w:rPr>
          <w:sz w:val="28"/>
          <w:szCs w:val="28"/>
        </w:rPr>
        <w:lastRenderedPageBreak/>
        <w:t xml:space="preserve">целью диверсификации экономики и поддержания высокого уровня социального благосостояния граждан.  </w:t>
      </w:r>
    </w:p>
    <w:p w:rsidR="00C73E34" w:rsidRPr="00650A3D" w:rsidRDefault="00860F40" w:rsidP="004E6E96">
      <w:pPr>
        <w:spacing w:after="0" w:line="360" w:lineRule="auto"/>
        <w:ind w:firstLine="851"/>
        <w:jc w:val="both"/>
        <w:rPr>
          <w:sz w:val="28"/>
          <w:szCs w:val="28"/>
        </w:rPr>
      </w:pPr>
      <w:r w:rsidRPr="00650A3D">
        <w:rPr>
          <w:sz w:val="28"/>
          <w:szCs w:val="28"/>
        </w:rPr>
        <w:t xml:space="preserve">Особое внимание при проведении политики, направленной на смягчение негативного воздействия нефтегазового сектора на экономику в странах-экспортерах, должно уделяться этапу планирования. Прежде всего, правительство должно подготовить специальную оценку национального дохода и поступлений в бюджет от нефтегазового сектора. </w:t>
      </w:r>
      <w:r w:rsidR="00E46192" w:rsidRPr="00650A3D">
        <w:rPr>
          <w:sz w:val="28"/>
          <w:szCs w:val="28"/>
        </w:rPr>
        <w:t>Д</w:t>
      </w:r>
      <w:r w:rsidRPr="00650A3D">
        <w:rPr>
          <w:sz w:val="28"/>
          <w:szCs w:val="28"/>
        </w:rPr>
        <w:t xml:space="preserve">анная оценка должна учитывать целый ряд факторов, таких как издержки производства и его объем, </w:t>
      </w:r>
      <w:r w:rsidR="00E46192" w:rsidRPr="00650A3D">
        <w:rPr>
          <w:sz w:val="28"/>
          <w:szCs w:val="28"/>
        </w:rPr>
        <w:t>мировые цены на сырье и истощаемость природных ресурсов. При этом полученные данные должны корректироваться с учетом высокой нестабильности указанных факторов (Хамфрис, Сакс и Стиглиц, 2011). Разумный подход к планированию расходов бюджета на основании полученной оценки доходной части позволяет избежать проблемы «жизни не по средствам» и способствует поддержанию не только экономической, но и политической и социальной стабильности</w:t>
      </w:r>
      <w:r w:rsidR="00C73E34" w:rsidRPr="00650A3D">
        <w:rPr>
          <w:sz w:val="28"/>
          <w:szCs w:val="28"/>
        </w:rPr>
        <w:t xml:space="preserve"> в стране</w:t>
      </w:r>
      <w:r w:rsidR="00E46192" w:rsidRPr="00650A3D">
        <w:rPr>
          <w:sz w:val="28"/>
          <w:szCs w:val="28"/>
        </w:rPr>
        <w:t>.</w:t>
      </w:r>
    </w:p>
    <w:p w:rsidR="00AD6E12" w:rsidRPr="00650A3D" w:rsidRDefault="008B5986" w:rsidP="004E6E96">
      <w:pPr>
        <w:spacing w:after="0" w:line="360" w:lineRule="auto"/>
        <w:ind w:firstLine="851"/>
        <w:jc w:val="both"/>
        <w:rPr>
          <w:sz w:val="28"/>
          <w:szCs w:val="28"/>
        </w:rPr>
      </w:pPr>
      <w:r w:rsidRPr="00650A3D">
        <w:rPr>
          <w:sz w:val="28"/>
          <w:szCs w:val="28"/>
        </w:rPr>
        <w:t>О</w:t>
      </w:r>
      <w:r w:rsidR="00390701" w:rsidRPr="00650A3D">
        <w:rPr>
          <w:sz w:val="28"/>
          <w:szCs w:val="28"/>
        </w:rPr>
        <w:t>дним из</w:t>
      </w:r>
      <w:r w:rsidR="006E6CE1">
        <w:rPr>
          <w:sz w:val="28"/>
          <w:szCs w:val="28"/>
        </w:rPr>
        <w:t xml:space="preserve"> </w:t>
      </w:r>
      <w:r w:rsidR="00390701" w:rsidRPr="00650A3D">
        <w:rPr>
          <w:sz w:val="28"/>
          <w:szCs w:val="28"/>
        </w:rPr>
        <w:t>ключевых аспектов</w:t>
      </w:r>
      <w:r w:rsidR="00CD18B4" w:rsidRPr="00650A3D">
        <w:rPr>
          <w:sz w:val="28"/>
          <w:szCs w:val="28"/>
        </w:rPr>
        <w:t xml:space="preserve"> эффективной политики по управлению сырьевыми доходами </w:t>
      </w:r>
      <w:r w:rsidRPr="00650A3D">
        <w:rPr>
          <w:sz w:val="28"/>
          <w:szCs w:val="28"/>
        </w:rPr>
        <w:t xml:space="preserve">является изъятие сверхдоходов и </w:t>
      </w:r>
      <w:r w:rsidR="00CD18B4" w:rsidRPr="00650A3D">
        <w:rPr>
          <w:sz w:val="28"/>
          <w:szCs w:val="28"/>
        </w:rPr>
        <w:t>их аккумулирование в специально созданных фондах</w:t>
      </w:r>
      <w:r w:rsidR="00EA703E">
        <w:rPr>
          <w:sz w:val="28"/>
          <w:szCs w:val="28"/>
        </w:rPr>
        <w:t xml:space="preserve"> </w:t>
      </w:r>
      <w:r w:rsidR="000C1F58" w:rsidRPr="00650A3D">
        <w:rPr>
          <w:sz w:val="28"/>
          <w:szCs w:val="28"/>
        </w:rPr>
        <w:t>(</w:t>
      </w:r>
      <w:r w:rsidR="000C1F58" w:rsidRPr="00650A3D">
        <w:rPr>
          <w:sz w:val="28"/>
          <w:szCs w:val="28"/>
          <w:lang w:val="en-US"/>
        </w:rPr>
        <w:t>Stevens</w:t>
      </w:r>
      <w:r w:rsidR="000C1F58" w:rsidRPr="00650A3D">
        <w:rPr>
          <w:sz w:val="28"/>
          <w:szCs w:val="28"/>
        </w:rPr>
        <w:t xml:space="preserve">, 2003). Подобные действия помогают минимизировать те негативные эффекты, которые возникают из-за притока непредвиденных доходов от продажи природных ресурсов, о которых </w:t>
      </w:r>
      <w:r w:rsidR="007A58E3">
        <w:rPr>
          <w:sz w:val="28"/>
          <w:szCs w:val="28"/>
        </w:rPr>
        <w:t>говорилось</w:t>
      </w:r>
      <w:r w:rsidR="000C1F58" w:rsidRPr="00650A3D">
        <w:rPr>
          <w:sz w:val="28"/>
          <w:szCs w:val="28"/>
        </w:rPr>
        <w:t xml:space="preserve"> ранее. При этом мировая практика показывает, что в основе сбережения сырьевых доходов могут лежать различные принципы (</w:t>
      </w:r>
      <w:r w:rsidR="006244C0" w:rsidRPr="00650A3D">
        <w:rPr>
          <w:sz w:val="28"/>
          <w:szCs w:val="28"/>
        </w:rPr>
        <w:t>Кудрин, 2006б)</w:t>
      </w:r>
      <w:r w:rsidR="00AD6E12" w:rsidRPr="00650A3D">
        <w:rPr>
          <w:sz w:val="28"/>
          <w:szCs w:val="28"/>
        </w:rPr>
        <w:t>:</w:t>
      </w:r>
    </w:p>
    <w:p w:rsidR="00AD6E12" w:rsidRPr="007A58E3" w:rsidRDefault="00AD6E12" w:rsidP="004E6E96">
      <w:pPr>
        <w:spacing w:after="0" w:line="360" w:lineRule="auto"/>
        <w:ind w:firstLine="851"/>
        <w:jc w:val="both"/>
        <w:rPr>
          <w:sz w:val="28"/>
          <w:szCs w:val="28"/>
        </w:rPr>
      </w:pPr>
      <w:r w:rsidRPr="00650A3D">
        <w:rPr>
          <w:sz w:val="28"/>
          <w:szCs w:val="28"/>
        </w:rPr>
        <w:t xml:space="preserve">1. Принцип постоянного потребления предполагает, что все сырьевые доходы после зачисления нефтегазового трансферта, размер которого фиксирован по отношению к ВВП, направляются в специально созданный фонд. При этом сохранение сбалансированности бюджета в долгосрочной перспективе достигается за счет того, что расходованию </w:t>
      </w:r>
      <w:r w:rsidRPr="00650A3D">
        <w:rPr>
          <w:sz w:val="28"/>
          <w:szCs w:val="28"/>
        </w:rPr>
        <w:lastRenderedPageBreak/>
        <w:t>подлежит лишь постоянный доход от сырьевого сектора.  А так как сырьевые ресурсы с течением времени должны истощаться, то доля несырьевого ВВП в совокупном ВВП будет расти</w:t>
      </w:r>
      <w:r w:rsidRPr="007A58E3">
        <w:rPr>
          <w:sz w:val="28"/>
          <w:szCs w:val="28"/>
        </w:rPr>
        <w:t>. В настоящее время данный принцип и</w:t>
      </w:r>
      <w:r w:rsidR="0050519D" w:rsidRPr="007A58E3">
        <w:rPr>
          <w:sz w:val="28"/>
          <w:szCs w:val="28"/>
        </w:rPr>
        <w:t>спользуется в Казахстане, а также применялся в</w:t>
      </w:r>
      <w:r w:rsidRPr="007A58E3">
        <w:rPr>
          <w:sz w:val="28"/>
          <w:szCs w:val="28"/>
        </w:rPr>
        <w:t xml:space="preserve"> Росси</w:t>
      </w:r>
      <w:r w:rsidR="0050519D" w:rsidRPr="007A58E3">
        <w:rPr>
          <w:sz w:val="28"/>
          <w:szCs w:val="28"/>
        </w:rPr>
        <w:t>и в 2008-2010гг.</w:t>
      </w:r>
    </w:p>
    <w:p w:rsidR="00AD6E12" w:rsidRPr="007A58E3" w:rsidRDefault="00AD6E12" w:rsidP="004E6E96">
      <w:pPr>
        <w:spacing w:after="0" w:line="360" w:lineRule="auto"/>
        <w:ind w:firstLine="851"/>
        <w:jc w:val="both"/>
        <w:rPr>
          <w:sz w:val="28"/>
          <w:szCs w:val="28"/>
        </w:rPr>
      </w:pPr>
      <w:r w:rsidRPr="007A58E3">
        <w:rPr>
          <w:sz w:val="28"/>
          <w:szCs w:val="28"/>
        </w:rPr>
        <w:t>2. Принцип полного сбережения обуславливается тем требованием, что несырьевой дефицит не должен превышать реального дохода от несырьевых накоплений. При этом в фонд зачисляются сырьевые доходы в полном объеме. Такой механизм формирования фонда характерен для Норвегии.</w:t>
      </w:r>
    </w:p>
    <w:p w:rsidR="00F52FAD" w:rsidRPr="007A58E3" w:rsidRDefault="00AD6E12" w:rsidP="00F52FAD">
      <w:pPr>
        <w:spacing w:after="0" w:line="360" w:lineRule="auto"/>
        <w:ind w:firstLine="851"/>
        <w:jc w:val="both"/>
        <w:rPr>
          <w:sz w:val="28"/>
          <w:szCs w:val="28"/>
        </w:rPr>
      </w:pPr>
      <w:r w:rsidRPr="007A58E3">
        <w:rPr>
          <w:sz w:val="28"/>
          <w:szCs w:val="28"/>
        </w:rPr>
        <w:t>3. Принцип средней цены базируется на определении средней (базовой) цены на сырьевой продукт в долгосрочной перспективе и зачислении в резервный фонд всех доходов от экспорта данного продукта, когда мировая цена на него будет выше базовой. В периоды неблагоприятной конъюнктуры, при мировой цене ниже базовой, происходит расходование средств данного фонда, что позволяет поддерживать государственные расходы на постоянном уровне или определенной траектории роста. Данный принцип примен</w:t>
      </w:r>
      <w:r w:rsidR="0050519D" w:rsidRPr="007A58E3">
        <w:rPr>
          <w:sz w:val="28"/>
          <w:szCs w:val="28"/>
        </w:rPr>
        <w:t>яется в Чили, Венесуэле, Омане. В России по принципу средней цены происходило управление нефтегазовыми доходами в 2004-2007гг., и сейчас в соответствии</w:t>
      </w:r>
      <w:r w:rsidR="00790D42" w:rsidRPr="007A58E3">
        <w:rPr>
          <w:sz w:val="28"/>
          <w:szCs w:val="28"/>
        </w:rPr>
        <w:t xml:space="preserve"> с Федеральным законом от 25 декабря </w:t>
      </w:r>
      <w:r w:rsidR="0050519D" w:rsidRPr="007A58E3">
        <w:rPr>
          <w:sz w:val="28"/>
          <w:szCs w:val="28"/>
        </w:rPr>
        <w:t>2012</w:t>
      </w:r>
      <w:r w:rsidR="00790D42" w:rsidRPr="007A58E3">
        <w:rPr>
          <w:sz w:val="28"/>
          <w:szCs w:val="28"/>
        </w:rPr>
        <w:t xml:space="preserve"> г.</w:t>
      </w:r>
      <w:r w:rsidR="00EA703E">
        <w:rPr>
          <w:sz w:val="28"/>
          <w:szCs w:val="28"/>
        </w:rPr>
        <w:t xml:space="preserve"> </w:t>
      </w:r>
      <w:r w:rsidR="008B5986" w:rsidRPr="007A58E3">
        <w:rPr>
          <w:sz w:val="28"/>
          <w:szCs w:val="28"/>
        </w:rPr>
        <w:t>№</w:t>
      </w:r>
      <w:r w:rsidR="0050519D" w:rsidRPr="007A58E3">
        <w:rPr>
          <w:sz w:val="28"/>
          <w:szCs w:val="28"/>
        </w:rPr>
        <w:t xml:space="preserve"> 268-ФЗ «О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 это правило вновь вступает в силу. </w:t>
      </w:r>
    </w:p>
    <w:p w:rsidR="00F52FAD" w:rsidRPr="007A58E3" w:rsidRDefault="00C513CE" w:rsidP="00F52FAD">
      <w:pPr>
        <w:spacing w:after="0" w:line="360" w:lineRule="auto"/>
        <w:ind w:firstLine="851"/>
        <w:jc w:val="both"/>
        <w:rPr>
          <w:sz w:val="28"/>
          <w:szCs w:val="28"/>
        </w:rPr>
      </w:pPr>
      <w:r w:rsidRPr="007A58E3">
        <w:rPr>
          <w:sz w:val="28"/>
          <w:szCs w:val="28"/>
        </w:rPr>
        <w:t xml:space="preserve">При этом стоит подчеркнуть, что в зависимости от цели создания фонды невозобновляемых ресурсов можно разделить на стабилизационные и сберегательные. </w:t>
      </w:r>
    </w:p>
    <w:p w:rsidR="00F01633" w:rsidRPr="007A58E3" w:rsidRDefault="00C513CE" w:rsidP="00F52FAD">
      <w:pPr>
        <w:tabs>
          <w:tab w:val="left" w:pos="4965"/>
        </w:tabs>
        <w:spacing w:after="0" w:line="360" w:lineRule="auto"/>
        <w:ind w:firstLine="851"/>
        <w:jc w:val="both"/>
        <w:rPr>
          <w:sz w:val="28"/>
          <w:szCs w:val="28"/>
        </w:rPr>
      </w:pPr>
      <w:r w:rsidRPr="007A58E3">
        <w:rPr>
          <w:sz w:val="28"/>
          <w:szCs w:val="28"/>
        </w:rPr>
        <w:lastRenderedPageBreak/>
        <w:t>В рамках стабилизационных фондов проводится среднесрочное сбережение, предназначенное для сглаживания колебаний доходов бюджета, связанных с неустойчивостью поступлений от экспорта ресурсов, а также снижения зависимости макроэкономической и бюджетной политики</w:t>
      </w:r>
      <w:r w:rsidR="00EA703E">
        <w:rPr>
          <w:sz w:val="28"/>
          <w:szCs w:val="28"/>
        </w:rPr>
        <w:t xml:space="preserve"> </w:t>
      </w:r>
      <w:r w:rsidRPr="007A58E3">
        <w:rPr>
          <w:sz w:val="28"/>
          <w:szCs w:val="28"/>
        </w:rPr>
        <w:t>страны от колебаний мировых цен на сырье (Серегина, 2006).</w:t>
      </w:r>
      <w:r w:rsidR="00456005" w:rsidRPr="007A58E3">
        <w:rPr>
          <w:sz w:val="28"/>
          <w:szCs w:val="28"/>
        </w:rPr>
        <w:t xml:space="preserve"> Кроме того, стабилизационная функция заключается и в том, что на фонды возлагается</w:t>
      </w:r>
      <w:r w:rsidR="00EA703E">
        <w:rPr>
          <w:sz w:val="28"/>
          <w:szCs w:val="28"/>
        </w:rPr>
        <w:t xml:space="preserve"> </w:t>
      </w:r>
      <w:r w:rsidR="00456005" w:rsidRPr="007A58E3">
        <w:rPr>
          <w:sz w:val="28"/>
          <w:szCs w:val="28"/>
        </w:rPr>
        <w:t xml:space="preserve">функция стерилизации избыточных нефтедолларовых доходов, что является одним из механизмов по борьбе с инфляцией (Бажан, 2006). </w:t>
      </w:r>
    </w:p>
    <w:p w:rsidR="00F01633" w:rsidRPr="007A58E3" w:rsidRDefault="00456005" w:rsidP="00F01633">
      <w:pPr>
        <w:tabs>
          <w:tab w:val="left" w:pos="4965"/>
        </w:tabs>
        <w:spacing w:after="0" w:line="360" w:lineRule="auto"/>
        <w:ind w:firstLine="851"/>
        <w:jc w:val="both"/>
        <w:rPr>
          <w:sz w:val="28"/>
          <w:szCs w:val="28"/>
        </w:rPr>
      </w:pPr>
      <w:r w:rsidRPr="007A58E3">
        <w:rPr>
          <w:sz w:val="28"/>
          <w:szCs w:val="28"/>
        </w:rPr>
        <w:t xml:space="preserve">Долгосрочное сбережение осуществляется </w:t>
      </w:r>
      <w:r w:rsidR="00300A0C" w:rsidRPr="007A58E3">
        <w:rPr>
          <w:sz w:val="28"/>
          <w:szCs w:val="28"/>
        </w:rPr>
        <w:t>в рамках сберегательных фондов, миссия которых заключается в обеспечении сохранности доходов от использования невозобновляемых ресурсов для будущих поколений (Кудрин, 2006а). Кроме того, погашение государственного долга за счет средств фонда природных ресурсов можно также назвать формой долгосрочного сбережения, так как оно снижает будущие расходы на обслуживание и вып</w:t>
      </w:r>
      <w:r w:rsidR="00147070" w:rsidRPr="007A58E3">
        <w:rPr>
          <w:sz w:val="28"/>
          <w:szCs w:val="28"/>
        </w:rPr>
        <w:t>лату долга, тем самым увеличивая количество средств, которые могут быть потрачены государством на выполнение социально значимых функций (Кудрин, 2006б).</w:t>
      </w:r>
    </w:p>
    <w:p w:rsidR="00F01633" w:rsidRPr="007A58E3" w:rsidRDefault="008B5986" w:rsidP="00F01633">
      <w:pPr>
        <w:tabs>
          <w:tab w:val="left" w:pos="4965"/>
        </w:tabs>
        <w:spacing w:after="0" w:line="360" w:lineRule="auto"/>
        <w:ind w:firstLine="851"/>
        <w:jc w:val="both"/>
        <w:rPr>
          <w:sz w:val="28"/>
          <w:szCs w:val="28"/>
        </w:rPr>
      </w:pPr>
      <w:r w:rsidRPr="007A58E3">
        <w:rPr>
          <w:sz w:val="28"/>
          <w:szCs w:val="28"/>
        </w:rPr>
        <w:t>В целом, стоит отметить, что с</w:t>
      </w:r>
      <w:r w:rsidR="004E6E96" w:rsidRPr="007A58E3">
        <w:rPr>
          <w:sz w:val="28"/>
          <w:szCs w:val="28"/>
        </w:rPr>
        <w:t xml:space="preserve">торонники идеи создания </w:t>
      </w:r>
      <w:r w:rsidR="006B4612" w:rsidRPr="007A58E3">
        <w:rPr>
          <w:sz w:val="28"/>
          <w:szCs w:val="28"/>
        </w:rPr>
        <w:t>фондов природных ресурсов</w:t>
      </w:r>
      <w:r w:rsidR="004E6E96" w:rsidRPr="007A58E3">
        <w:rPr>
          <w:sz w:val="28"/>
          <w:szCs w:val="28"/>
        </w:rPr>
        <w:t xml:space="preserve"> апеллируют к тому факту, что характерн</w:t>
      </w:r>
      <w:r w:rsidR="006B4612" w:rsidRPr="007A58E3">
        <w:rPr>
          <w:sz w:val="28"/>
          <w:szCs w:val="28"/>
        </w:rPr>
        <w:t>ой особенностью экономики стран-экспортеров нефти</w:t>
      </w:r>
      <w:r w:rsidR="004E6E96" w:rsidRPr="007A58E3">
        <w:rPr>
          <w:sz w:val="28"/>
          <w:szCs w:val="28"/>
        </w:rPr>
        <w:t xml:space="preserve"> является «дестабилизация национальной экономики в рамках циклических колебаний цен на сырьевые экспортные товары»</w:t>
      </w:r>
      <w:r w:rsidR="006B4612" w:rsidRPr="007A58E3">
        <w:rPr>
          <w:sz w:val="28"/>
          <w:szCs w:val="28"/>
        </w:rPr>
        <w:t xml:space="preserve"> (Сухарев, 2010</w:t>
      </w:r>
      <w:r w:rsidR="002F13D4" w:rsidRPr="007A58E3">
        <w:rPr>
          <w:sz w:val="28"/>
          <w:szCs w:val="28"/>
        </w:rPr>
        <w:t>б</w:t>
      </w:r>
      <w:r w:rsidR="006B4612" w:rsidRPr="007A58E3">
        <w:rPr>
          <w:sz w:val="28"/>
          <w:szCs w:val="28"/>
        </w:rPr>
        <w:t>, с. 29)</w:t>
      </w:r>
      <w:r w:rsidR="004E6E96" w:rsidRPr="007A58E3">
        <w:rPr>
          <w:sz w:val="28"/>
          <w:szCs w:val="28"/>
        </w:rPr>
        <w:t>.</w:t>
      </w:r>
      <w:r w:rsidR="00EA703E">
        <w:rPr>
          <w:sz w:val="28"/>
          <w:szCs w:val="28"/>
        </w:rPr>
        <w:t xml:space="preserve"> </w:t>
      </w:r>
      <w:r w:rsidR="004E6E96" w:rsidRPr="007A58E3">
        <w:rPr>
          <w:sz w:val="28"/>
          <w:szCs w:val="28"/>
        </w:rPr>
        <w:t xml:space="preserve">Принимая во внимание зависимость экономики страны от волатильности цен на сырьевые ресурсы, стабилизационная политика </w:t>
      </w:r>
      <w:r w:rsidR="006B4612" w:rsidRPr="007A58E3">
        <w:rPr>
          <w:sz w:val="28"/>
          <w:szCs w:val="28"/>
        </w:rPr>
        <w:t xml:space="preserve">должна сопровождаться созданием суверенного </w:t>
      </w:r>
      <w:r w:rsidR="004E6E96" w:rsidRPr="007A58E3">
        <w:rPr>
          <w:sz w:val="28"/>
          <w:szCs w:val="28"/>
        </w:rPr>
        <w:t xml:space="preserve">фонда, в котором бы аккумулировались конъюнктурные доходы государства, так как изменение мировых цен на нефть приводит к колебаниям экспортной выручки страны, что сопровождается возникновением периодических </w:t>
      </w:r>
      <w:r w:rsidR="004E6E96" w:rsidRPr="007A58E3">
        <w:rPr>
          <w:sz w:val="28"/>
          <w:szCs w:val="28"/>
        </w:rPr>
        <w:lastRenderedPageBreak/>
        <w:t>экономических шоков и требует м</w:t>
      </w:r>
      <w:r w:rsidR="006B4612" w:rsidRPr="007A58E3">
        <w:rPr>
          <w:sz w:val="28"/>
          <w:szCs w:val="28"/>
        </w:rPr>
        <w:t xml:space="preserve">акроэкономических корректировок (Дьяченко, 2011). </w:t>
      </w:r>
    </w:p>
    <w:p w:rsidR="00F01633" w:rsidRPr="007A58E3" w:rsidRDefault="004E6E96" w:rsidP="00F01633">
      <w:pPr>
        <w:tabs>
          <w:tab w:val="left" w:pos="4965"/>
        </w:tabs>
        <w:spacing w:after="0" w:line="360" w:lineRule="auto"/>
        <w:ind w:firstLine="851"/>
        <w:jc w:val="both"/>
        <w:rPr>
          <w:sz w:val="28"/>
          <w:szCs w:val="28"/>
        </w:rPr>
      </w:pPr>
      <w:r w:rsidRPr="007A58E3">
        <w:rPr>
          <w:sz w:val="28"/>
          <w:szCs w:val="28"/>
        </w:rPr>
        <w:t>Формирование такого рода фонда</w:t>
      </w:r>
      <w:r w:rsidR="00CB7C64" w:rsidRPr="007A58E3">
        <w:rPr>
          <w:sz w:val="28"/>
          <w:szCs w:val="28"/>
        </w:rPr>
        <w:t xml:space="preserve"> природных ресурсов</w:t>
      </w:r>
      <w:r w:rsidRPr="007A58E3">
        <w:rPr>
          <w:sz w:val="28"/>
          <w:szCs w:val="28"/>
        </w:rPr>
        <w:t xml:space="preserve"> позволяет решить целый ряд проблем. </w:t>
      </w:r>
    </w:p>
    <w:p w:rsidR="00F01633" w:rsidRPr="007A58E3" w:rsidRDefault="004E6E96" w:rsidP="00F01633">
      <w:pPr>
        <w:tabs>
          <w:tab w:val="left" w:pos="4965"/>
        </w:tabs>
        <w:spacing w:after="0" w:line="360" w:lineRule="auto"/>
        <w:ind w:firstLine="851"/>
        <w:jc w:val="both"/>
        <w:rPr>
          <w:sz w:val="28"/>
          <w:szCs w:val="28"/>
        </w:rPr>
      </w:pPr>
      <w:r w:rsidRPr="007A58E3">
        <w:rPr>
          <w:sz w:val="28"/>
          <w:szCs w:val="28"/>
        </w:rPr>
        <w:t>Во-первых, фонд играет роль «подушки безопасности» в период неблагоприятной внешнеторговой конъюнктуры, когда в результате падения цен на ресурсы сокращаются доходы бюджета и во избежание недовольства со стороны населения государство использует средства фонда для финансового обеспечения запланированных расходов</w:t>
      </w:r>
      <w:r w:rsidR="00CB7C64" w:rsidRPr="007A58E3">
        <w:rPr>
          <w:sz w:val="28"/>
          <w:szCs w:val="28"/>
        </w:rPr>
        <w:t xml:space="preserve"> (</w:t>
      </w:r>
      <w:r w:rsidR="00CB7C64" w:rsidRPr="007A58E3">
        <w:rPr>
          <w:sz w:val="28"/>
          <w:szCs w:val="28"/>
          <w:lang w:val="en-US"/>
        </w:rPr>
        <w:t>Stevens</w:t>
      </w:r>
      <w:r w:rsidR="00CB7C64" w:rsidRPr="007A58E3">
        <w:rPr>
          <w:sz w:val="28"/>
          <w:szCs w:val="28"/>
        </w:rPr>
        <w:t>, 2003; Кудрин, 2006а; Дьяченко, 2011)</w:t>
      </w:r>
      <w:r w:rsidR="00F01633" w:rsidRPr="007A58E3">
        <w:rPr>
          <w:sz w:val="28"/>
          <w:szCs w:val="28"/>
        </w:rPr>
        <w:t>.</w:t>
      </w:r>
    </w:p>
    <w:p w:rsidR="00F01633" w:rsidRPr="007A58E3" w:rsidRDefault="004E6E96" w:rsidP="00F01633">
      <w:pPr>
        <w:tabs>
          <w:tab w:val="left" w:pos="4965"/>
        </w:tabs>
        <w:spacing w:after="0" w:line="360" w:lineRule="auto"/>
        <w:ind w:firstLine="851"/>
        <w:jc w:val="both"/>
        <w:rPr>
          <w:sz w:val="28"/>
          <w:szCs w:val="28"/>
        </w:rPr>
      </w:pPr>
      <w:r w:rsidRPr="007A58E3">
        <w:rPr>
          <w:sz w:val="28"/>
          <w:szCs w:val="28"/>
        </w:rPr>
        <w:t>Во-вторых, в период роста мировых цен на нефть и притока в страну большого количества иностранной валюты, когда происходит удорожание реального курса национальной валюты, что негативно отражается на конкурентоспособности страны, уровне ВВП и безработицы, фонд аккумулирует сверхдоходы, тем самым исполняя роль стерилизующего механизма, направленного на борьбу с инфляцией</w:t>
      </w:r>
      <w:r w:rsidR="00CB7C64" w:rsidRPr="007A58E3">
        <w:rPr>
          <w:sz w:val="28"/>
          <w:szCs w:val="28"/>
        </w:rPr>
        <w:t xml:space="preserve"> (Кудрин 2006б, Серегина, 2006)</w:t>
      </w:r>
      <w:r w:rsidRPr="007A58E3">
        <w:rPr>
          <w:sz w:val="28"/>
          <w:szCs w:val="28"/>
        </w:rPr>
        <w:t xml:space="preserve">. </w:t>
      </w:r>
    </w:p>
    <w:p w:rsidR="00F01633" w:rsidRPr="007A58E3" w:rsidRDefault="004E6E96" w:rsidP="00F01633">
      <w:pPr>
        <w:tabs>
          <w:tab w:val="left" w:pos="4965"/>
        </w:tabs>
        <w:spacing w:after="0" w:line="360" w:lineRule="auto"/>
        <w:ind w:firstLine="851"/>
        <w:jc w:val="both"/>
        <w:rPr>
          <w:sz w:val="28"/>
          <w:szCs w:val="28"/>
        </w:rPr>
      </w:pPr>
      <w:r w:rsidRPr="007A58E3">
        <w:rPr>
          <w:sz w:val="28"/>
          <w:szCs w:val="28"/>
        </w:rPr>
        <w:t>В-третьих, формирование суверенного фонда обеспечивает возможность стабилизации денежно-кредитной сферы, включая денежную массу, процентные ставки, а также способствует стабилизации курса национальной валюты, за счет возможности приобретения на средства фонда иностранной валюты</w:t>
      </w:r>
      <w:r w:rsidR="00CB7C64" w:rsidRPr="007A58E3">
        <w:rPr>
          <w:sz w:val="28"/>
          <w:szCs w:val="28"/>
        </w:rPr>
        <w:t xml:space="preserve"> (Дьяченко, 2011; Кудрин, 2013)</w:t>
      </w:r>
      <w:r w:rsidRPr="007A58E3">
        <w:rPr>
          <w:sz w:val="28"/>
          <w:szCs w:val="28"/>
        </w:rPr>
        <w:t>.</w:t>
      </w:r>
    </w:p>
    <w:p w:rsidR="004E6E96" w:rsidRPr="007A58E3" w:rsidRDefault="004E6E96" w:rsidP="00F01633">
      <w:pPr>
        <w:tabs>
          <w:tab w:val="left" w:pos="4965"/>
        </w:tabs>
        <w:spacing w:after="0" w:line="360" w:lineRule="auto"/>
        <w:ind w:firstLine="851"/>
        <w:jc w:val="both"/>
        <w:rPr>
          <w:sz w:val="28"/>
          <w:szCs w:val="28"/>
        </w:rPr>
      </w:pPr>
      <w:r w:rsidRPr="007A58E3">
        <w:rPr>
          <w:sz w:val="28"/>
          <w:szCs w:val="28"/>
        </w:rPr>
        <w:t>Кроме того, суверенный фонд является механизмом защиты доходов будущих поколений в случае неблагоприятной экономической обстановки в связи с исчерпаемостью ресурсов</w:t>
      </w:r>
      <w:r w:rsidR="00CB7C64" w:rsidRPr="007A58E3">
        <w:rPr>
          <w:sz w:val="28"/>
          <w:szCs w:val="28"/>
        </w:rPr>
        <w:t xml:space="preserve"> (</w:t>
      </w:r>
      <w:r w:rsidR="00CB7C64" w:rsidRPr="007A58E3">
        <w:rPr>
          <w:sz w:val="28"/>
          <w:szCs w:val="28"/>
          <w:lang w:val="en-US"/>
        </w:rPr>
        <w:t>Stevens</w:t>
      </w:r>
      <w:r w:rsidR="00CB7C64" w:rsidRPr="007A58E3">
        <w:rPr>
          <w:sz w:val="28"/>
          <w:szCs w:val="28"/>
        </w:rPr>
        <w:t>, 2003; Кудрин, 2006а).</w:t>
      </w:r>
    </w:p>
    <w:p w:rsidR="00F01633" w:rsidRPr="007A58E3" w:rsidRDefault="008B5986" w:rsidP="008B5986">
      <w:pPr>
        <w:tabs>
          <w:tab w:val="left" w:pos="4965"/>
        </w:tabs>
        <w:spacing w:after="0" w:line="360" w:lineRule="auto"/>
        <w:ind w:firstLine="851"/>
        <w:jc w:val="both"/>
        <w:rPr>
          <w:sz w:val="28"/>
          <w:szCs w:val="28"/>
        </w:rPr>
      </w:pPr>
      <w:r w:rsidRPr="007A58E3">
        <w:rPr>
          <w:sz w:val="28"/>
          <w:szCs w:val="28"/>
        </w:rPr>
        <w:t xml:space="preserve">Однако несмотря на все вышеуказанные факты, не все исследователи сходятся во мнении, что создание фондов природных ресурсов является оптимальным способом борьбы с «ресурсным </w:t>
      </w:r>
      <w:r w:rsidRPr="007A58E3">
        <w:rPr>
          <w:sz w:val="28"/>
          <w:szCs w:val="28"/>
        </w:rPr>
        <w:lastRenderedPageBreak/>
        <w:t>проклятием»; есть и те, кто считает, что наличие подобных фондов не способствует лучшему управлению природными ресурсами, а напротив, приводит к результатам, прямо противоположным тем целям, ради которых эти фонды были задуманы (</w:t>
      </w:r>
      <w:r w:rsidRPr="007A58E3">
        <w:rPr>
          <w:sz w:val="28"/>
          <w:szCs w:val="28"/>
          <w:lang w:val="en-US"/>
        </w:rPr>
        <w:t>Davis</w:t>
      </w:r>
      <w:r w:rsidRPr="007A58E3">
        <w:rPr>
          <w:sz w:val="28"/>
          <w:szCs w:val="28"/>
        </w:rPr>
        <w:t xml:space="preserve">, </w:t>
      </w:r>
      <w:r w:rsidRPr="007A58E3">
        <w:rPr>
          <w:sz w:val="28"/>
          <w:szCs w:val="28"/>
          <w:lang w:val="en-US"/>
        </w:rPr>
        <w:t>Ossowski</w:t>
      </w:r>
      <w:r w:rsidRPr="007A58E3">
        <w:rPr>
          <w:sz w:val="28"/>
          <w:szCs w:val="28"/>
        </w:rPr>
        <w:t xml:space="preserve">, </w:t>
      </w:r>
      <w:r w:rsidRPr="007A58E3">
        <w:rPr>
          <w:sz w:val="28"/>
          <w:szCs w:val="28"/>
          <w:lang w:val="en-US"/>
        </w:rPr>
        <w:t>Daniel</w:t>
      </w:r>
      <w:r w:rsidR="00EA703E">
        <w:rPr>
          <w:sz w:val="28"/>
          <w:szCs w:val="28"/>
        </w:rPr>
        <w:t xml:space="preserve"> </w:t>
      </w:r>
      <w:r w:rsidRPr="007A58E3">
        <w:rPr>
          <w:sz w:val="28"/>
          <w:szCs w:val="28"/>
          <w:lang w:val="en-US"/>
        </w:rPr>
        <w:t>and</w:t>
      </w:r>
      <w:r w:rsidR="00EA703E">
        <w:rPr>
          <w:sz w:val="28"/>
          <w:szCs w:val="28"/>
        </w:rPr>
        <w:t xml:space="preserve"> </w:t>
      </w:r>
      <w:r w:rsidRPr="007A58E3">
        <w:rPr>
          <w:sz w:val="28"/>
          <w:szCs w:val="28"/>
          <w:lang w:val="en-US"/>
        </w:rPr>
        <w:t>Barnett</w:t>
      </w:r>
      <w:r w:rsidRPr="007A58E3">
        <w:rPr>
          <w:sz w:val="28"/>
          <w:szCs w:val="28"/>
        </w:rPr>
        <w:t xml:space="preserve">, 2003; </w:t>
      </w:r>
      <w:r w:rsidRPr="007A58E3">
        <w:rPr>
          <w:sz w:val="28"/>
          <w:szCs w:val="28"/>
          <w:lang w:val="en-US"/>
        </w:rPr>
        <w:t>Fasano</w:t>
      </w:r>
      <w:r w:rsidRPr="007A58E3">
        <w:rPr>
          <w:sz w:val="28"/>
          <w:szCs w:val="28"/>
        </w:rPr>
        <w:t xml:space="preserve">, 2000), </w:t>
      </w:r>
      <w:r w:rsidR="004217B4" w:rsidRPr="007A58E3">
        <w:rPr>
          <w:sz w:val="28"/>
          <w:szCs w:val="28"/>
        </w:rPr>
        <w:t>особенно</w:t>
      </w:r>
      <w:r w:rsidRPr="007A58E3">
        <w:rPr>
          <w:sz w:val="28"/>
          <w:szCs w:val="28"/>
        </w:rPr>
        <w:t xml:space="preserve"> эта негативная тенденция проявляется</w:t>
      </w:r>
      <w:r w:rsidR="004217B4" w:rsidRPr="007A58E3">
        <w:rPr>
          <w:sz w:val="28"/>
          <w:szCs w:val="28"/>
        </w:rPr>
        <w:t xml:space="preserve"> в тех случаях, когда политические стимулы правящих кругов работают против целей создания данных фондов (Хамфрис, Сакс и Стиглиц, 2011; </w:t>
      </w:r>
      <w:r w:rsidR="004217B4" w:rsidRPr="007A58E3">
        <w:rPr>
          <w:sz w:val="28"/>
          <w:szCs w:val="28"/>
          <w:lang w:val="en-US"/>
        </w:rPr>
        <w:t>Tsui</w:t>
      </w:r>
      <w:r w:rsidR="004217B4" w:rsidRPr="007A58E3">
        <w:rPr>
          <w:sz w:val="28"/>
          <w:szCs w:val="28"/>
        </w:rPr>
        <w:t>, 2005).</w:t>
      </w:r>
    </w:p>
    <w:p w:rsidR="00DA6EDB" w:rsidRPr="007A58E3" w:rsidRDefault="009444E1" w:rsidP="00DA6EDB">
      <w:pPr>
        <w:tabs>
          <w:tab w:val="left" w:pos="4965"/>
        </w:tabs>
        <w:spacing w:after="0" w:line="360" w:lineRule="auto"/>
        <w:ind w:firstLine="851"/>
        <w:jc w:val="both"/>
        <w:rPr>
          <w:sz w:val="28"/>
          <w:szCs w:val="28"/>
        </w:rPr>
      </w:pPr>
      <w:r w:rsidRPr="007A58E3">
        <w:rPr>
          <w:sz w:val="28"/>
          <w:szCs w:val="28"/>
        </w:rPr>
        <w:t>Зачастую в таких случаях правила, регулирующие механизмы накопления денежных средств в фондах и управление ими, подлежат постоянному пересмотру и корректировки в зависимости от складывающейся политической ситуации (</w:t>
      </w:r>
      <w:r w:rsidRPr="007A58E3">
        <w:rPr>
          <w:sz w:val="28"/>
          <w:szCs w:val="28"/>
          <w:lang w:val="en-US"/>
        </w:rPr>
        <w:t>Davis</w:t>
      </w:r>
      <w:r w:rsidRPr="007A58E3">
        <w:rPr>
          <w:sz w:val="28"/>
          <w:szCs w:val="28"/>
        </w:rPr>
        <w:t xml:space="preserve">, </w:t>
      </w:r>
      <w:r w:rsidRPr="007A58E3">
        <w:rPr>
          <w:sz w:val="28"/>
          <w:szCs w:val="28"/>
          <w:lang w:val="en-US"/>
        </w:rPr>
        <w:t>Ossowski</w:t>
      </w:r>
      <w:r w:rsidRPr="007A58E3">
        <w:rPr>
          <w:sz w:val="28"/>
          <w:szCs w:val="28"/>
        </w:rPr>
        <w:t xml:space="preserve">, </w:t>
      </w:r>
      <w:r w:rsidRPr="007A58E3">
        <w:rPr>
          <w:sz w:val="28"/>
          <w:szCs w:val="28"/>
          <w:lang w:val="en-US"/>
        </w:rPr>
        <w:t>Daniel</w:t>
      </w:r>
      <w:r w:rsidR="00EA703E">
        <w:rPr>
          <w:sz w:val="28"/>
          <w:szCs w:val="28"/>
        </w:rPr>
        <w:t xml:space="preserve"> </w:t>
      </w:r>
      <w:r w:rsidRPr="007A58E3">
        <w:rPr>
          <w:sz w:val="28"/>
          <w:szCs w:val="28"/>
          <w:lang w:val="en-US"/>
        </w:rPr>
        <w:t>and</w:t>
      </w:r>
      <w:r w:rsidR="00EA703E">
        <w:rPr>
          <w:sz w:val="28"/>
          <w:szCs w:val="28"/>
        </w:rPr>
        <w:t xml:space="preserve"> </w:t>
      </w:r>
      <w:r w:rsidRPr="007A58E3">
        <w:rPr>
          <w:sz w:val="28"/>
          <w:szCs w:val="28"/>
          <w:lang w:val="en-US"/>
        </w:rPr>
        <w:t>Barnett</w:t>
      </w:r>
      <w:r w:rsidRPr="007A58E3">
        <w:rPr>
          <w:sz w:val="28"/>
          <w:szCs w:val="28"/>
        </w:rPr>
        <w:t>, 2003), что, безусловно, не способствует эффективности запланированной стабилизационной политики</w:t>
      </w:r>
      <w:r w:rsidR="00B14080" w:rsidRPr="007A58E3">
        <w:rPr>
          <w:sz w:val="28"/>
          <w:szCs w:val="28"/>
        </w:rPr>
        <w:t xml:space="preserve">. Кроме того, в странах со слабо развитой институциональной средой, отсутствием прозрачности и контроля со стороны гражданского общества за деятельностью чиновников, создание фонда природных ресурсов может привести к еще большему росту коррупции (Хамфрис, Сакс и Стиглиц, 2011; </w:t>
      </w:r>
      <w:r w:rsidR="00B14080" w:rsidRPr="007A58E3">
        <w:rPr>
          <w:sz w:val="28"/>
          <w:szCs w:val="28"/>
          <w:lang w:val="en-US"/>
        </w:rPr>
        <w:t>Tsui</w:t>
      </w:r>
      <w:r w:rsidR="00B14080" w:rsidRPr="007A58E3">
        <w:rPr>
          <w:sz w:val="28"/>
          <w:szCs w:val="28"/>
        </w:rPr>
        <w:t xml:space="preserve">, 2005), а также может создать </w:t>
      </w:r>
      <w:r w:rsidR="002403B2" w:rsidRPr="007A58E3">
        <w:rPr>
          <w:sz w:val="28"/>
          <w:szCs w:val="28"/>
        </w:rPr>
        <w:t>«</w:t>
      </w:r>
      <w:r w:rsidR="00B14080" w:rsidRPr="007A58E3">
        <w:rPr>
          <w:sz w:val="28"/>
          <w:szCs w:val="28"/>
        </w:rPr>
        <w:t>ложное чувство защищенности</w:t>
      </w:r>
      <w:r w:rsidR="002403B2" w:rsidRPr="007A58E3">
        <w:rPr>
          <w:sz w:val="28"/>
          <w:szCs w:val="28"/>
        </w:rPr>
        <w:t>», которое будет препятствовать проведению оптимальной фискальной политики (</w:t>
      </w:r>
      <w:r w:rsidR="002403B2" w:rsidRPr="007A58E3">
        <w:rPr>
          <w:sz w:val="28"/>
          <w:szCs w:val="28"/>
          <w:lang w:val="en-US"/>
        </w:rPr>
        <w:t>Stevens</w:t>
      </w:r>
      <w:r w:rsidR="002403B2" w:rsidRPr="007A58E3">
        <w:rPr>
          <w:sz w:val="28"/>
          <w:szCs w:val="28"/>
        </w:rPr>
        <w:t xml:space="preserve">, 2003). Все это, безусловно, приведет </w:t>
      </w:r>
      <w:r w:rsidR="00B14080" w:rsidRPr="007A58E3">
        <w:rPr>
          <w:sz w:val="28"/>
          <w:szCs w:val="28"/>
        </w:rPr>
        <w:t>к менее эффективному использованию доходов, получаемых от экспорта сырья</w:t>
      </w:r>
      <w:r w:rsidR="002403B2" w:rsidRPr="007A58E3">
        <w:rPr>
          <w:sz w:val="28"/>
          <w:szCs w:val="28"/>
        </w:rPr>
        <w:t xml:space="preserve">. </w:t>
      </w:r>
    </w:p>
    <w:p w:rsidR="009817FB" w:rsidRPr="007A58E3" w:rsidRDefault="008B5986" w:rsidP="009817FB">
      <w:pPr>
        <w:tabs>
          <w:tab w:val="left" w:pos="4965"/>
        </w:tabs>
        <w:spacing w:after="0" w:line="360" w:lineRule="auto"/>
        <w:ind w:firstLine="851"/>
        <w:jc w:val="both"/>
        <w:rPr>
          <w:sz w:val="28"/>
          <w:szCs w:val="28"/>
        </w:rPr>
      </w:pPr>
      <w:r w:rsidRPr="007A58E3">
        <w:rPr>
          <w:sz w:val="28"/>
          <w:szCs w:val="28"/>
        </w:rPr>
        <w:t>Определенные</w:t>
      </w:r>
      <w:r w:rsidR="00DA6EDB" w:rsidRPr="007A58E3">
        <w:rPr>
          <w:sz w:val="28"/>
          <w:szCs w:val="28"/>
        </w:rPr>
        <w:t xml:space="preserve"> споры ведутся и по поводу того, что в связи с созданием суверенных фондов получаемые дополнительные доходы государства просто изымаются из оборота, вместо того, чтобы проводить политику по их сохранению внутри страны и инвестированию с целью диверсификации экономики и ее развития в пользу наукоемких и высокотехнологичных отраслей (Гусев, 2006). И с этим аргументом, безусловно, нельзя не согласиться. Именно поэтому, одним из механизмов </w:t>
      </w:r>
      <w:r w:rsidR="00DA6EDB" w:rsidRPr="007A58E3">
        <w:rPr>
          <w:sz w:val="28"/>
          <w:szCs w:val="28"/>
        </w:rPr>
        <w:lastRenderedPageBreak/>
        <w:t>борьб</w:t>
      </w:r>
      <w:r w:rsidR="009817FB" w:rsidRPr="007A58E3">
        <w:rPr>
          <w:sz w:val="28"/>
          <w:szCs w:val="28"/>
        </w:rPr>
        <w:t>ы</w:t>
      </w:r>
      <w:r w:rsidR="00DA6EDB" w:rsidRPr="007A58E3">
        <w:rPr>
          <w:sz w:val="28"/>
          <w:szCs w:val="28"/>
        </w:rPr>
        <w:t xml:space="preserve"> с «ресурсным проклятием», наряду с рациональной программой среднесрочного и долгосрочного планирования и аккумулированием сверхдоходов в специально созданных фондах с целью стабилизации</w:t>
      </w:r>
      <w:r w:rsidR="009817FB" w:rsidRPr="007A58E3">
        <w:rPr>
          <w:sz w:val="28"/>
          <w:szCs w:val="28"/>
        </w:rPr>
        <w:t xml:space="preserve"> экономики</w:t>
      </w:r>
      <w:r w:rsidR="00DA6EDB" w:rsidRPr="007A58E3">
        <w:rPr>
          <w:sz w:val="28"/>
          <w:szCs w:val="28"/>
        </w:rPr>
        <w:t>, является проведение грамотной инвестиционной политики.</w:t>
      </w:r>
    </w:p>
    <w:p w:rsidR="009175EF" w:rsidRPr="007A58E3" w:rsidRDefault="009817FB" w:rsidP="009817FB">
      <w:pPr>
        <w:tabs>
          <w:tab w:val="left" w:pos="4965"/>
        </w:tabs>
        <w:spacing w:after="0" w:line="360" w:lineRule="auto"/>
        <w:ind w:firstLine="851"/>
        <w:jc w:val="both"/>
        <w:rPr>
          <w:sz w:val="28"/>
          <w:szCs w:val="28"/>
        </w:rPr>
      </w:pPr>
      <w:r w:rsidRPr="007A58E3">
        <w:rPr>
          <w:sz w:val="28"/>
          <w:szCs w:val="28"/>
        </w:rPr>
        <w:t>Эффективная инвестиционная политика, принятая правительством в отношении доходов, получаемых от экспорта сырья, будет не только способствовать предотвращению тех негативных экономических эффектов, о которых говорилось в первой части этой главы</w:t>
      </w:r>
      <w:r w:rsidR="009175EF" w:rsidRPr="007A58E3">
        <w:rPr>
          <w:sz w:val="28"/>
          <w:szCs w:val="28"/>
        </w:rPr>
        <w:t>, но и окажет стимулирующее воздействие на процесс диверсификации экономики (</w:t>
      </w:r>
      <w:r w:rsidR="009175EF" w:rsidRPr="007A58E3">
        <w:rPr>
          <w:sz w:val="28"/>
          <w:szCs w:val="28"/>
          <w:lang w:val="en-US"/>
        </w:rPr>
        <w:t>Stevens</w:t>
      </w:r>
      <w:r w:rsidR="009175EF" w:rsidRPr="007A58E3">
        <w:rPr>
          <w:sz w:val="28"/>
          <w:szCs w:val="28"/>
        </w:rPr>
        <w:t xml:space="preserve">, 2003). </w:t>
      </w:r>
    </w:p>
    <w:p w:rsidR="00D92F06" w:rsidRPr="007A58E3" w:rsidRDefault="009175EF" w:rsidP="00D92F06">
      <w:pPr>
        <w:tabs>
          <w:tab w:val="left" w:pos="4965"/>
        </w:tabs>
        <w:spacing w:after="0" w:line="360" w:lineRule="auto"/>
        <w:ind w:firstLine="851"/>
        <w:jc w:val="both"/>
        <w:rPr>
          <w:sz w:val="28"/>
          <w:szCs w:val="28"/>
        </w:rPr>
      </w:pPr>
      <w:r w:rsidRPr="007A58E3">
        <w:rPr>
          <w:sz w:val="28"/>
          <w:szCs w:val="28"/>
        </w:rPr>
        <w:t xml:space="preserve">Так, если доходы от нефтяного бума должным образом расходуются на государственные инвестиции в экономику страны (особенно в инфраструктурные проекты), а не финансируют </w:t>
      </w:r>
      <w:r w:rsidR="00F0652F" w:rsidRPr="007A58E3">
        <w:rPr>
          <w:sz w:val="28"/>
          <w:szCs w:val="28"/>
        </w:rPr>
        <w:t xml:space="preserve">непосредственно </w:t>
      </w:r>
      <w:r w:rsidRPr="007A58E3">
        <w:rPr>
          <w:sz w:val="28"/>
          <w:szCs w:val="28"/>
        </w:rPr>
        <w:t>потребление, то негативных эффектов, связанных с «голландской болезнью» можно не опасаться (Хамфрис, Сакс и Стиглиц, 2011). В этом случае</w:t>
      </w:r>
      <w:r w:rsidR="00F0652F" w:rsidRPr="007A58E3">
        <w:rPr>
          <w:sz w:val="28"/>
          <w:szCs w:val="28"/>
        </w:rPr>
        <w:t xml:space="preserve"> преимущества возросших инвестиций для сектора несырьевых экспортных товаров с большой вероятностью перевесят негативные последствия роста реального курса национальной валюты. </w:t>
      </w:r>
    </w:p>
    <w:p w:rsidR="00520D94" w:rsidRPr="007A58E3" w:rsidRDefault="00520D94" w:rsidP="009817FB">
      <w:pPr>
        <w:tabs>
          <w:tab w:val="left" w:pos="4965"/>
        </w:tabs>
        <w:spacing w:after="0" w:line="360" w:lineRule="auto"/>
        <w:ind w:firstLine="851"/>
        <w:jc w:val="both"/>
        <w:rPr>
          <w:sz w:val="28"/>
          <w:szCs w:val="28"/>
        </w:rPr>
      </w:pPr>
      <w:r w:rsidRPr="007A58E3">
        <w:rPr>
          <w:sz w:val="28"/>
          <w:szCs w:val="28"/>
        </w:rPr>
        <w:t>Здесь же стоит отметить, что инвестирование государством в инфраструктурные проекты позволит также привлечь в экономику частных инвесторов, что также окажет благотворное влияние на развитие экономики в целом (</w:t>
      </w:r>
      <w:r w:rsidRPr="007A58E3">
        <w:rPr>
          <w:sz w:val="28"/>
          <w:szCs w:val="28"/>
          <w:lang w:val="en-US"/>
        </w:rPr>
        <w:t>Stevens</w:t>
      </w:r>
      <w:r w:rsidRPr="007A58E3">
        <w:rPr>
          <w:sz w:val="28"/>
          <w:szCs w:val="28"/>
        </w:rPr>
        <w:t>, 2003).</w:t>
      </w:r>
    </w:p>
    <w:p w:rsidR="000805EC" w:rsidRPr="007A58E3" w:rsidRDefault="00F0652F" w:rsidP="009817FB">
      <w:pPr>
        <w:tabs>
          <w:tab w:val="left" w:pos="4965"/>
        </w:tabs>
        <w:spacing w:after="0" w:line="360" w:lineRule="auto"/>
        <w:ind w:firstLine="851"/>
        <w:jc w:val="both"/>
        <w:rPr>
          <w:sz w:val="28"/>
          <w:szCs w:val="28"/>
        </w:rPr>
      </w:pPr>
      <w:r w:rsidRPr="007A58E3">
        <w:rPr>
          <w:sz w:val="28"/>
          <w:szCs w:val="28"/>
        </w:rPr>
        <w:t>Кроме того, инвестиционная политика</w:t>
      </w:r>
      <w:r w:rsidR="000805EC" w:rsidRPr="007A58E3">
        <w:rPr>
          <w:sz w:val="28"/>
          <w:szCs w:val="28"/>
        </w:rPr>
        <w:t>, реализуемая в рамках долгосрочной стратегии развития страны, должна быть направлена на диверсификацию экономики с целью замены потоков доходов от истощаемых природных ресурсов на доходы от секторов с высокой добавленной стоимостью (</w:t>
      </w:r>
      <w:r w:rsidR="000805EC" w:rsidRPr="007A58E3">
        <w:rPr>
          <w:sz w:val="28"/>
          <w:szCs w:val="28"/>
          <w:lang w:val="en-US"/>
        </w:rPr>
        <w:t>Stevens</w:t>
      </w:r>
      <w:r w:rsidR="000805EC" w:rsidRPr="007A58E3">
        <w:rPr>
          <w:sz w:val="28"/>
          <w:szCs w:val="28"/>
        </w:rPr>
        <w:t>, 2003</w:t>
      </w:r>
      <w:r w:rsidR="00451BE4" w:rsidRPr="007A58E3">
        <w:rPr>
          <w:sz w:val="28"/>
          <w:szCs w:val="28"/>
        </w:rPr>
        <w:t xml:space="preserve">), что, помимо всего прочего, могло бы стать и надежной защитой доходов будущих поколений в случае ухудшения мировой ситуации на рынке сырьевых ресурсов. </w:t>
      </w:r>
    </w:p>
    <w:p w:rsidR="00FE0A59" w:rsidRPr="007A58E3" w:rsidRDefault="00FE0A59" w:rsidP="009817FB">
      <w:pPr>
        <w:tabs>
          <w:tab w:val="left" w:pos="4965"/>
        </w:tabs>
        <w:spacing w:after="0" w:line="360" w:lineRule="auto"/>
        <w:ind w:firstLine="851"/>
        <w:jc w:val="both"/>
        <w:rPr>
          <w:sz w:val="28"/>
          <w:szCs w:val="28"/>
        </w:rPr>
      </w:pPr>
      <w:r w:rsidRPr="007A58E3">
        <w:rPr>
          <w:sz w:val="28"/>
          <w:szCs w:val="28"/>
        </w:rPr>
        <w:lastRenderedPageBreak/>
        <w:t>В целом же, говоря о качественном и эффективном управлении нефтяными доходами, Дж. Сакс в своем исследовании (Хамфрис, Сакс и Стиглиц, 2011) сравнивает потоки нефтяной прибыли с гуманит</w:t>
      </w:r>
      <w:r w:rsidR="00507FEF" w:rsidRPr="007A58E3">
        <w:rPr>
          <w:sz w:val="28"/>
          <w:szCs w:val="28"/>
        </w:rPr>
        <w:t>а</w:t>
      </w:r>
      <w:r w:rsidRPr="007A58E3">
        <w:rPr>
          <w:sz w:val="28"/>
          <w:szCs w:val="28"/>
        </w:rPr>
        <w:t>рной помощью</w:t>
      </w:r>
      <w:r w:rsidR="00507FEF" w:rsidRPr="007A58E3">
        <w:rPr>
          <w:sz w:val="28"/>
          <w:szCs w:val="28"/>
        </w:rPr>
        <w:t>, так как и та, и другая имеют схожие экономические характеристики: являются нестабильными и истощаемыми доходами, начисляемыми государству. На основании данной параллели к сырьевой прибыли можно применить рекомендации, которые приводит Международный валютный фонд относительно гуманитарной помощи</w:t>
      </w:r>
      <w:r w:rsidR="005B4559" w:rsidRPr="007A58E3">
        <w:rPr>
          <w:sz w:val="28"/>
          <w:szCs w:val="28"/>
        </w:rPr>
        <w:t xml:space="preserve"> (</w:t>
      </w:r>
      <w:r w:rsidR="005B4559" w:rsidRPr="007A58E3">
        <w:rPr>
          <w:sz w:val="28"/>
          <w:szCs w:val="28"/>
          <w:lang w:val="en-US"/>
        </w:rPr>
        <w:t>UN</w:t>
      </w:r>
      <w:r w:rsidR="00EA703E">
        <w:rPr>
          <w:sz w:val="28"/>
          <w:szCs w:val="28"/>
        </w:rPr>
        <w:t xml:space="preserve"> </w:t>
      </w:r>
      <w:r w:rsidR="005B4559" w:rsidRPr="007A58E3">
        <w:rPr>
          <w:sz w:val="28"/>
          <w:szCs w:val="28"/>
          <w:lang w:val="en-US"/>
        </w:rPr>
        <w:t>Millennium</w:t>
      </w:r>
      <w:r w:rsidR="00EA703E">
        <w:rPr>
          <w:sz w:val="28"/>
          <w:szCs w:val="28"/>
        </w:rPr>
        <w:t xml:space="preserve"> </w:t>
      </w:r>
      <w:r w:rsidR="005B4559" w:rsidRPr="007A58E3">
        <w:rPr>
          <w:sz w:val="28"/>
          <w:szCs w:val="28"/>
          <w:lang w:val="en-US"/>
        </w:rPr>
        <w:t>Project</w:t>
      </w:r>
      <w:r w:rsidR="005B4559" w:rsidRPr="007A58E3">
        <w:rPr>
          <w:sz w:val="28"/>
          <w:szCs w:val="28"/>
        </w:rPr>
        <w:t>, 2005):</w:t>
      </w:r>
    </w:p>
    <w:p w:rsidR="005B4559" w:rsidRPr="007A58E3" w:rsidRDefault="005B4559" w:rsidP="005B4559">
      <w:pPr>
        <w:tabs>
          <w:tab w:val="left" w:pos="4965"/>
        </w:tabs>
        <w:spacing w:after="0" w:line="360" w:lineRule="auto"/>
        <w:ind w:firstLine="851"/>
        <w:jc w:val="both"/>
        <w:rPr>
          <w:sz w:val="28"/>
          <w:szCs w:val="28"/>
        </w:rPr>
      </w:pPr>
      <w:r w:rsidRPr="00985D29">
        <w:rPr>
          <w:sz w:val="26"/>
          <w:szCs w:val="26"/>
        </w:rPr>
        <w:t xml:space="preserve">1. </w:t>
      </w:r>
      <w:r w:rsidRPr="007A58E3">
        <w:rPr>
          <w:sz w:val="28"/>
          <w:szCs w:val="28"/>
        </w:rPr>
        <w:t xml:space="preserve">Минимизируйте риски «голландской болезни». В случае с нефтяными доходами негативные эффекты «голландской болезни» можно сократить, если инвестировать излишнюю нефтяную прибыль в несырьевые сектора экономики, тем самым не снижая, а увеличивая их производительность и поддерживая конкурентоспособность отечественных товаров. </w:t>
      </w:r>
    </w:p>
    <w:p w:rsidR="001C0D0C" w:rsidRPr="007A58E3" w:rsidRDefault="001C0D0C" w:rsidP="005B4559">
      <w:pPr>
        <w:tabs>
          <w:tab w:val="left" w:pos="4965"/>
        </w:tabs>
        <w:spacing w:after="0" w:line="360" w:lineRule="auto"/>
        <w:ind w:firstLine="851"/>
        <w:jc w:val="both"/>
        <w:rPr>
          <w:sz w:val="28"/>
          <w:szCs w:val="28"/>
        </w:rPr>
      </w:pPr>
      <w:r w:rsidRPr="007A58E3">
        <w:rPr>
          <w:sz w:val="28"/>
          <w:szCs w:val="28"/>
        </w:rPr>
        <w:t>2. Стремитесь с краткосрочному и среднесрочному росту. На основании разработанной правительством страны-экспортера стратегии развития получаемые от нефтегазового сектора доходы должны финансировать не потребление, а инвестиции, прежде всего, в создание инфраструктуры и улучшение образования (вклад в развитие человеческого капитала).</w:t>
      </w:r>
    </w:p>
    <w:p w:rsidR="001C0D0C" w:rsidRPr="007A58E3" w:rsidRDefault="001C0D0C" w:rsidP="005B4559">
      <w:pPr>
        <w:tabs>
          <w:tab w:val="left" w:pos="4965"/>
        </w:tabs>
        <w:spacing w:after="0" w:line="360" w:lineRule="auto"/>
        <w:ind w:firstLine="851"/>
        <w:jc w:val="both"/>
        <w:rPr>
          <w:sz w:val="28"/>
          <w:szCs w:val="28"/>
        </w:rPr>
      </w:pPr>
      <w:r w:rsidRPr="007A58E3">
        <w:rPr>
          <w:sz w:val="28"/>
          <w:szCs w:val="28"/>
        </w:rPr>
        <w:t>3. Развивайте качественное управление и снижайте уровень коррупции. Основной акцент здесь необходимо поставить на прозрачности и от</w:t>
      </w:r>
      <w:r w:rsidR="007A77D2" w:rsidRPr="007A58E3">
        <w:rPr>
          <w:sz w:val="28"/>
          <w:szCs w:val="28"/>
        </w:rPr>
        <w:t>крытом предоставлении общественности достоверной информации об источниках нефтегазовой прибыли, ожидаемых доходах от продажи сырья, а также о направлениях использования полученных денежных средств.</w:t>
      </w:r>
    </w:p>
    <w:p w:rsidR="007A77D2" w:rsidRPr="007A58E3" w:rsidRDefault="007A77D2" w:rsidP="005B4559">
      <w:pPr>
        <w:tabs>
          <w:tab w:val="left" w:pos="4965"/>
        </w:tabs>
        <w:spacing w:after="0" w:line="360" w:lineRule="auto"/>
        <w:ind w:firstLine="851"/>
        <w:jc w:val="both"/>
        <w:rPr>
          <w:sz w:val="28"/>
          <w:szCs w:val="28"/>
        </w:rPr>
      </w:pPr>
      <w:r w:rsidRPr="007A58E3">
        <w:rPr>
          <w:sz w:val="28"/>
          <w:szCs w:val="28"/>
        </w:rPr>
        <w:t xml:space="preserve">4. Подготовьте стратегию отступления. Точно также как гуманитарная помощь по определению не является постоянным источником доходов, так и страна, экспортирующая природные ресурсы, </w:t>
      </w:r>
      <w:r w:rsidRPr="007A58E3">
        <w:rPr>
          <w:sz w:val="28"/>
          <w:szCs w:val="28"/>
        </w:rPr>
        <w:lastRenderedPageBreak/>
        <w:t>должна заранее подготовиться к сокращению доходов от экспорта, как в связи с истощаемостью ресурсов, так и в связи с сокращением спроса на них, возможным по причине постепенного перехода на альтернативные источники энергии. Именно поэтому правительства ресурсодобывающих стран должны заранее планировать</w:t>
      </w:r>
      <w:r w:rsidR="00D92F06" w:rsidRPr="007A58E3">
        <w:rPr>
          <w:sz w:val="28"/>
          <w:szCs w:val="28"/>
        </w:rPr>
        <w:t>, какими доходами в долгосрочной перспективе они смогут заменить выпадающие доходы от экспорта сырья.</w:t>
      </w:r>
    </w:p>
    <w:p w:rsidR="008B5986" w:rsidRPr="007A58E3" w:rsidRDefault="00D92F06" w:rsidP="00652825">
      <w:pPr>
        <w:tabs>
          <w:tab w:val="left" w:pos="4965"/>
        </w:tabs>
        <w:spacing w:after="0" w:line="360" w:lineRule="auto"/>
        <w:ind w:firstLine="851"/>
        <w:jc w:val="both"/>
        <w:rPr>
          <w:sz w:val="28"/>
          <w:szCs w:val="28"/>
        </w:rPr>
      </w:pPr>
      <w:r w:rsidRPr="007A58E3">
        <w:rPr>
          <w:sz w:val="28"/>
          <w:szCs w:val="28"/>
        </w:rPr>
        <w:t xml:space="preserve">5. Регулярно производите переоценку применяемой политики. Поскольку нефтяные доходы отличаются крайней нестабильностью и волатильностью, проводимая фискальная, монетарная и валютная политика должна корректироваться с учетом колебания цен на мировых сырьевых рынках. Для этого должны разрабатываться особые механизмы управления нефтегазовыми доходами и варианты их использования при различных условиях внешнеэкономической конъюнктуры. </w:t>
      </w:r>
    </w:p>
    <w:p w:rsidR="00FF5B6C" w:rsidRPr="007A58E3" w:rsidRDefault="00652825" w:rsidP="005B4559">
      <w:pPr>
        <w:tabs>
          <w:tab w:val="left" w:pos="4965"/>
        </w:tabs>
        <w:spacing w:after="0" w:line="360" w:lineRule="auto"/>
        <w:ind w:firstLine="851"/>
        <w:jc w:val="both"/>
        <w:rPr>
          <w:sz w:val="28"/>
          <w:szCs w:val="28"/>
        </w:rPr>
      </w:pPr>
      <w:r w:rsidRPr="007A58E3">
        <w:rPr>
          <w:sz w:val="28"/>
          <w:szCs w:val="28"/>
        </w:rPr>
        <w:t xml:space="preserve">Таким образом, подводя промежуточные итоги, я бы хотела отметить, что страны, ориентированные на добычу и экспорт природных ресурсов, обладают определенным набором внутренних и внешних рисков, которые могут препятствовать их экономическому росту и стабильному развитию. Для решения описанных выше проблем и минимизации рисков существует два основных подхода: </w:t>
      </w:r>
    </w:p>
    <w:p w:rsidR="00240F16" w:rsidRPr="007A58E3" w:rsidRDefault="00652825" w:rsidP="00240F16">
      <w:pPr>
        <w:pStyle w:val="a8"/>
        <w:numPr>
          <w:ilvl w:val="0"/>
          <w:numId w:val="15"/>
        </w:numPr>
        <w:tabs>
          <w:tab w:val="left" w:pos="4965"/>
        </w:tabs>
        <w:spacing w:after="0" w:line="360" w:lineRule="auto"/>
        <w:ind w:left="1276"/>
        <w:jc w:val="both"/>
        <w:rPr>
          <w:sz w:val="28"/>
          <w:szCs w:val="28"/>
        </w:rPr>
      </w:pPr>
      <w:r w:rsidRPr="007A58E3">
        <w:rPr>
          <w:sz w:val="28"/>
          <w:szCs w:val="28"/>
        </w:rPr>
        <w:t>изъятие конъюнктурных доходов из экономики и их аккумулирование в специально созданных фондах</w:t>
      </w:r>
      <w:r w:rsidR="00240F16" w:rsidRPr="007A58E3">
        <w:rPr>
          <w:sz w:val="28"/>
          <w:szCs w:val="28"/>
        </w:rPr>
        <w:t>,</w:t>
      </w:r>
    </w:p>
    <w:p w:rsidR="00652825" w:rsidRPr="007A58E3" w:rsidRDefault="00240F16" w:rsidP="00240F16">
      <w:pPr>
        <w:pStyle w:val="a8"/>
        <w:numPr>
          <w:ilvl w:val="0"/>
          <w:numId w:val="15"/>
        </w:numPr>
        <w:tabs>
          <w:tab w:val="left" w:pos="4965"/>
        </w:tabs>
        <w:spacing w:after="0" w:line="360" w:lineRule="auto"/>
        <w:ind w:left="1276"/>
        <w:jc w:val="both"/>
        <w:rPr>
          <w:sz w:val="28"/>
          <w:szCs w:val="28"/>
        </w:rPr>
      </w:pPr>
      <w:r w:rsidRPr="007A58E3">
        <w:rPr>
          <w:sz w:val="28"/>
          <w:szCs w:val="28"/>
        </w:rPr>
        <w:t>сохранение нефтегазовых</w:t>
      </w:r>
      <w:r w:rsidR="00EA703E">
        <w:rPr>
          <w:sz w:val="28"/>
          <w:szCs w:val="28"/>
        </w:rPr>
        <w:t xml:space="preserve"> </w:t>
      </w:r>
      <w:r w:rsidRPr="007A58E3">
        <w:rPr>
          <w:sz w:val="28"/>
          <w:szCs w:val="28"/>
        </w:rPr>
        <w:t>доходов в экономике и их использование для финансирования расходных обязательств.</w:t>
      </w:r>
    </w:p>
    <w:p w:rsidR="00240F16" w:rsidRPr="00985D29" w:rsidRDefault="00240F16" w:rsidP="007A58E3">
      <w:pPr>
        <w:tabs>
          <w:tab w:val="left" w:pos="4965"/>
        </w:tabs>
        <w:spacing w:after="0" w:line="360" w:lineRule="auto"/>
        <w:ind w:firstLine="851"/>
        <w:jc w:val="both"/>
        <w:rPr>
          <w:sz w:val="26"/>
          <w:szCs w:val="26"/>
        </w:rPr>
      </w:pPr>
      <w:r w:rsidRPr="007A58E3">
        <w:rPr>
          <w:sz w:val="28"/>
          <w:szCs w:val="28"/>
        </w:rPr>
        <w:t xml:space="preserve">Выбор той или иной стратегии развития бюджетной политики  будет зависеть от сложившейся в стране экономической, политической и социальной ситуации, однако, в любом случае, вне зависимости от выбора пути развития, для достижения положительных результатов </w:t>
      </w:r>
      <w:r w:rsidR="005B4DDA" w:rsidRPr="007A58E3">
        <w:rPr>
          <w:sz w:val="28"/>
          <w:szCs w:val="28"/>
        </w:rPr>
        <w:t>особая роль должна отводиться качественному управлению государственными финансами.</w:t>
      </w:r>
    </w:p>
    <w:p w:rsidR="00FF5B6C" w:rsidRPr="00985D29" w:rsidRDefault="007A58E3" w:rsidP="007A58E3">
      <w:pPr>
        <w:pStyle w:val="1"/>
      </w:pPr>
      <w:bookmarkStart w:id="5" w:name="_Toc356172736"/>
      <w:r>
        <w:lastRenderedPageBreak/>
        <w:t>Гл</w:t>
      </w:r>
      <w:r w:rsidR="00D430CA" w:rsidRPr="00985D29">
        <w:t>ава 2.</w:t>
      </w:r>
      <w:r w:rsidR="00FF5B6C" w:rsidRPr="00985D29">
        <w:t xml:space="preserve"> Эволю</w:t>
      </w:r>
      <w:r w:rsidR="000F116B" w:rsidRPr="00985D29">
        <w:t>ция бюджетных правил по учету не</w:t>
      </w:r>
      <w:r w:rsidR="00FF5B6C" w:rsidRPr="00985D29">
        <w:t>фтегазовых доходов федерального бюджета</w:t>
      </w:r>
      <w:r w:rsidR="00D430CA" w:rsidRPr="00985D29">
        <w:t xml:space="preserve"> Российской Федерации</w:t>
      </w:r>
      <w:bookmarkEnd w:id="5"/>
    </w:p>
    <w:p w:rsidR="00E74274" w:rsidRPr="00985D29" w:rsidRDefault="00E74274" w:rsidP="00AD79D2">
      <w:pPr>
        <w:pStyle w:val="2"/>
      </w:pPr>
      <w:bookmarkStart w:id="6" w:name="_Toc316222915"/>
      <w:bookmarkStart w:id="7" w:name="_Toc325281808"/>
      <w:bookmarkStart w:id="8" w:name="_Toc325296816"/>
      <w:bookmarkStart w:id="9" w:name="_Toc356172737"/>
      <w:r w:rsidRPr="00985D29">
        <w:t>2.1 Стабилизационный фонд Российской Федерации: 2004-2007гг.</w:t>
      </w:r>
      <w:bookmarkEnd w:id="6"/>
      <w:bookmarkEnd w:id="7"/>
      <w:bookmarkEnd w:id="8"/>
      <w:bookmarkEnd w:id="9"/>
    </w:p>
    <w:p w:rsidR="001E191F" w:rsidRPr="006F579C" w:rsidRDefault="00333E1F" w:rsidP="00D77A6B">
      <w:pPr>
        <w:spacing w:after="0" w:line="360" w:lineRule="auto"/>
        <w:ind w:firstLine="851"/>
        <w:jc w:val="both"/>
        <w:rPr>
          <w:sz w:val="28"/>
          <w:szCs w:val="28"/>
        </w:rPr>
      </w:pPr>
      <w:r w:rsidRPr="006F579C">
        <w:rPr>
          <w:sz w:val="28"/>
          <w:szCs w:val="28"/>
        </w:rPr>
        <w:t xml:space="preserve">В начале 2000-х годов благодаря улучшению внешнеэкономической конъюнктуры органы государственной власти впервые стали решать вопросы не поиска денежных средств для финансирования расходов федерального бюджета, а столкнулись с проблемой планирования, «задавая при этом себе один единственный вопрос: если цена на нефть вырастет </w:t>
      </w:r>
      <w:r w:rsidR="0090650A" w:rsidRPr="006F579C">
        <w:rPr>
          <w:sz w:val="28"/>
          <w:szCs w:val="28"/>
        </w:rPr>
        <w:t xml:space="preserve">еще </w:t>
      </w:r>
      <w:r w:rsidRPr="006F579C">
        <w:rPr>
          <w:sz w:val="28"/>
          <w:szCs w:val="28"/>
        </w:rPr>
        <w:t>на 1 долл., то куда следует направить образовавшиеся доходы от притока «нефтедолларов» в страну</w:t>
      </w:r>
      <w:r w:rsidR="001E191F" w:rsidRPr="006F579C">
        <w:rPr>
          <w:sz w:val="28"/>
          <w:szCs w:val="28"/>
        </w:rPr>
        <w:t>»</w:t>
      </w:r>
      <w:r w:rsidR="007A58E3" w:rsidRPr="006F579C">
        <w:rPr>
          <w:sz w:val="28"/>
          <w:szCs w:val="28"/>
        </w:rPr>
        <w:t xml:space="preserve"> (Петрикова, 2012, с. 39)</w:t>
      </w:r>
      <w:r w:rsidR="001E191F" w:rsidRPr="006F579C">
        <w:rPr>
          <w:sz w:val="28"/>
          <w:szCs w:val="28"/>
        </w:rPr>
        <w:t>?Для стабилизации экономики и борьбы с инфляцией Минфином России было принято решение о проведение экономической политики, направленной на резервирование излишних доходов от экспорта сырья. Целесообразность данного подхода была обоснована высокой степенью зависимости экономики и финансовой системы от внешнеэкономических факторов, связанных с колебаниями на мировых рынках ресурсов.</w:t>
      </w:r>
    </w:p>
    <w:p w:rsidR="00332984" w:rsidRDefault="001E191F" w:rsidP="00400D5A">
      <w:pPr>
        <w:spacing w:after="0" w:line="360" w:lineRule="auto"/>
        <w:ind w:firstLine="851"/>
        <w:jc w:val="both"/>
        <w:rPr>
          <w:sz w:val="28"/>
          <w:szCs w:val="28"/>
        </w:rPr>
      </w:pPr>
      <w:r w:rsidRPr="006F579C">
        <w:rPr>
          <w:sz w:val="28"/>
          <w:szCs w:val="28"/>
        </w:rPr>
        <w:t>Так, п</w:t>
      </w:r>
      <w:r w:rsidR="00E74274" w:rsidRPr="006F579C">
        <w:rPr>
          <w:sz w:val="28"/>
          <w:szCs w:val="28"/>
        </w:rPr>
        <w:t xml:space="preserve">о оценкам экспертов, удельный вес нефтегазового сектора в экономике </w:t>
      </w:r>
      <w:r w:rsidR="00E56FB4" w:rsidRPr="006F579C">
        <w:rPr>
          <w:sz w:val="28"/>
          <w:szCs w:val="28"/>
        </w:rPr>
        <w:t>России</w:t>
      </w:r>
      <w:r w:rsidR="00E74274" w:rsidRPr="006F579C">
        <w:rPr>
          <w:sz w:val="28"/>
          <w:szCs w:val="28"/>
        </w:rPr>
        <w:t xml:space="preserve"> в период с 1999 по 2003 гг. находился в пределах 19-22% от ВВП, достигнув своего пика в </w:t>
      </w:r>
      <w:smartTag w:uri="urn:schemas-microsoft-com:office:smarttags" w:element="metricconverter">
        <w:smartTagPr>
          <w:attr w:name="ProductID" w:val="2000 г"/>
        </w:smartTagPr>
        <w:r w:rsidR="00E74274" w:rsidRPr="006F579C">
          <w:rPr>
            <w:sz w:val="28"/>
            <w:szCs w:val="28"/>
          </w:rPr>
          <w:t>2000 г</w:t>
        </w:r>
      </w:smartTag>
      <w:r w:rsidR="00E74274" w:rsidRPr="006F579C">
        <w:rPr>
          <w:sz w:val="28"/>
          <w:szCs w:val="28"/>
        </w:rPr>
        <w:t>., когда его размер был зафиксирован на уровне 26,3% от ВВП (Гурвич, 2004)</w:t>
      </w:r>
      <w:r w:rsidR="00D77A6B" w:rsidRPr="006F579C">
        <w:rPr>
          <w:sz w:val="28"/>
          <w:szCs w:val="28"/>
        </w:rPr>
        <w:t>, при</w:t>
      </w:r>
      <w:r w:rsidR="00E74274" w:rsidRPr="006F579C">
        <w:rPr>
          <w:sz w:val="28"/>
          <w:szCs w:val="28"/>
        </w:rPr>
        <w:t>чем, стоит отметить, что более двух третей из этой суммы приходится на нефтяной сектор (Таб. 1).</w:t>
      </w:r>
    </w:p>
    <w:p w:rsidR="006A790B" w:rsidRDefault="006A790B" w:rsidP="00400D5A">
      <w:pPr>
        <w:spacing w:after="0" w:line="360" w:lineRule="auto"/>
        <w:ind w:firstLine="851"/>
        <w:jc w:val="both"/>
        <w:rPr>
          <w:sz w:val="28"/>
          <w:szCs w:val="28"/>
        </w:rPr>
      </w:pPr>
    </w:p>
    <w:p w:rsidR="006A790B" w:rsidRDefault="006A790B" w:rsidP="00400D5A">
      <w:pPr>
        <w:spacing w:after="0" w:line="360" w:lineRule="auto"/>
        <w:ind w:firstLine="851"/>
        <w:jc w:val="both"/>
        <w:rPr>
          <w:sz w:val="28"/>
          <w:szCs w:val="28"/>
        </w:rPr>
      </w:pPr>
    </w:p>
    <w:p w:rsidR="006A790B" w:rsidRDefault="006A790B" w:rsidP="00400D5A">
      <w:pPr>
        <w:spacing w:after="0" w:line="360" w:lineRule="auto"/>
        <w:ind w:firstLine="851"/>
        <w:jc w:val="both"/>
        <w:rPr>
          <w:sz w:val="28"/>
          <w:szCs w:val="28"/>
        </w:rPr>
      </w:pPr>
    </w:p>
    <w:p w:rsidR="006A790B" w:rsidRDefault="006A790B" w:rsidP="00400D5A">
      <w:pPr>
        <w:spacing w:after="0" w:line="360" w:lineRule="auto"/>
        <w:ind w:firstLine="851"/>
        <w:jc w:val="both"/>
        <w:rPr>
          <w:sz w:val="28"/>
          <w:szCs w:val="28"/>
        </w:rPr>
      </w:pPr>
    </w:p>
    <w:p w:rsidR="006A790B" w:rsidRDefault="006A790B" w:rsidP="00400D5A">
      <w:pPr>
        <w:spacing w:after="0" w:line="360" w:lineRule="auto"/>
        <w:ind w:firstLine="851"/>
        <w:jc w:val="both"/>
        <w:rPr>
          <w:sz w:val="28"/>
          <w:szCs w:val="28"/>
        </w:rPr>
      </w:pPr>
    </w:p>
    <w:p w:rsidR="006A790B" w:rsidRPr="006F579C" w:rsidRDefault="006A790B" w:rsidP="00400D5A">
      <w:pPr>
        <w:spacing w:after="0" w:line="360" w:lineRule="auto"/>
        <w:ind w:firstLine="851"/>
        <w:jc w:val="both"/>
        <w:rPr>
          <w:sz w:val="28"/>
          <w:szCs w:val="28"/>
        </w:rPr>
      </w:pPr>
    </w:p>
    <w:p w:rsidR="00E74274" w:rsidRPr="00985D29" w:rsidRDefault="00E74274" w:rsidP="009960EC">
      <w:pPr>
        <w:spacing w:after="0"/>
        <w:ind w:firstLine="1080"/>
        <w:jc w:val="right"/>
        <w:rPr>
          <w:i/>
          <w:sz w:val="26"/>
          <w:szCs w:val="26"/>
        </w:rPr>
      </w:pPr>
      <w:r w:rsidRPr="00985D29">
        <w:rPr>
          <w:i/>
          <w:sz w:val="26"/>
          <w:szCs w:val="26"/>
        </w:rPr>
        <w:lastRenderedPageBreak/>
        <w:t>Таблица 1</w:t>
      </w:r>
    </w:p>
    <w:p w:rsidR="00D77A6B" w:rsidRPr="00985D29" w:rsidRDefault="00E74274" w:rsidP="009960EC">
      <w:pPr>
        <w:spacing w:after="0"/>
        <w:jc w:val="center"/>
        <w:rPr>
          <w:b/>
          <w:sz w:val="26"/>
          <w:szCs w:val="26"/>
        </w:rPr>
      </w:pPr>
      <w:r w:rsidRPr="00985D29">
        <w:rPr>
          <w:b/>
          <w:sz w:val="26"/>
          <w:szCs w:val="26"/>
        </w:rPr>
        <w:t xml:space="preserve">Удельный вес нефтегазового сектора в экономике России </w:t>
      </w:r>
    </w:p>
    <w:p w:rsidR="00E74274" w:rsidRPr="00985D29" w:rsidRDefault="00E74274" w:rsidP="009960EC">
      <w:pPr>
        <w:spacing w:after="0"/>
        <w:jc w:val="center"/>
        <w:rPr>
          <w:b/>
          <w:sz w:val="26"/>
          <w:szCs w:val="26"/>
        </w:rPr>
      </w:pPr>
      <w:r w:rsidRPr="00985D29">
        <w:rPr>
          <w:b/>
          <w:sz w:val="26"/>
          <w:szCs w:val="26"/>
        </w:rPr>
        <w:t xml:space="preserve">в </w:t>
      </w:r>
      <w:r w:rsidR="00D77A6B" w:rsidRPr="00985D29">
        <w:rPr>
          <w:b/>
          <w:sz w:val="26"/>
          <w:szCs w:val="26"/>
        </w:rPr>
        <w:t xml:space="preserve">1999-2003 </w:t>
      </w:r>
      <w:r w:rsidRPr="00985D29">
        <w:rPr>
          <w:b/>
          <w:sz w:val="26"/>
          <w:szCs w:val="26"/>
        </w:rPr>
        <w:t>гг.</w:t>
      </w:r>
    </w:p>
    <w:tbl>
      <w:tblPr>
        <w:tblStyle w:val="1-11"/>
        <w:tblW w:w="9072" w:type="dxa"/>
        <w:tblLook w:val="01E0"/>
      </w:tblPr>
      <w:tblGrid>
        <w:gridCol w:w="2127"/>
        <w:gridCol w:w="1389"/>
        <w:gridCol w:w="1389"/>
        <w:gridCol w:w="1389"/>
        <w:gridCol w:w="1389"/>
        <w:gridCol w:w="1389"/>
      </w:tblGrid>
      <w:tr w:rsidR="00E74274" w:rsidRPr="00AD79D2" w:rsidTr="00596998">
        <w:trPr>
          <w:cnfStyle w:val="100000000000"/>
        </w:trPr>
        <w:tc>
          <w:tcPr>
            <w:cnfStyle w:val="001000000000"/>
            <w:tcW w:w="2127" w:type="dxa"/>
          </w:tcPr>
          <w:p w:rsidR="00E74274" w:rsidRPr="00AD79D2" w:rsidRDefault="00E74274" w:rsidP="00D77A6B">
            <w:pPr>
              <w:spacing w:line="360" w:lineRule="auto"/>
              <w:jc w:val="center"/>
              <w:rPr>
                <w:sz w:val="22"/>
                <w:szCs w:val="22"/>
              </w:rPr>
            </w:pPr>
          </w:p>
        </w:tc>
        <w:tc>
          <w:tcPr>
            <w:cnfStyle w:val="000010000000"/>
            <w:tcW w:w="1389" w:type="dxa"/>
          </w:tcPr>
          <w:p w:rsidR="00E74274" w:rsidRPr="00AD79D2" w:rsidRDefault="00E74274" w:rsidP="00D77A6B">
            <w:pPr>
              <w:spacing w:line="360" w:lineRule="auto"/>
              <w:jc w:val="center"/>
              <w:rPr>
                <w:b w:val="0"/>
                <w:sz w:val="22"/>
                <w:szCs w:val="22"/>
              </w:rPr>
            </w:pPr>
            <w:r w:rsidRPr="00AD79D2">
              <w:rPr>
                <w:sz w:val="22"/>
                <w:szCs w:val="22"/>
              </w:rPr>
              <w:t>1999</w:t>
            </w:r>
          </w:p>
        </w:tc>
        <w:tc>
          <w:tcPr>
            <w:tcW w:w="1389" w:type="dxa"/>
          </w:tcPr>
          <w:p w:rsidR="00E74274" w:rsidRPr="00AD79D2" w:rsidRDefault="00E74274" w:rsidP="00D77A6B">
            <w:pPr>
              <w:spacing w:line="360" w:lineRule="auto"/>
              <w:jc w:val="center"/>
              <w:cnfStyle w:val="100000000000"/>
              <w:rPr>
                <w:b w:val="0"/>
                <w:sz w:val="22"/>
                <w:szCs w:val="22"/>
              </w:rPr>
            </w:pPr>
            <w:r w:rsidRPr="00AD79D2">
              <w:rPr>
                <w:sz w:val="22"/>
                <w:szCs w:val="22"/>
              </w:rPr>
              <w:t>2000</w:t>
            </w:r>
          </w:p>
        </w:tc>
        <w:tc>
          <w:tcPr>
            <w:cnfStyle w:val="000010000000"/>
            <w:tcW w:w="1389" w:type="dxa"/>
          </w:tcPr>
          <w:p w:rsidR="00E74274" w:rsidRPr="00AD79D2" w:rsidRDefault="00E74274" w:rsidP="00D77A6B">
            <w:pPr>
              <w:spacing w:line="360" w:lineRule="auto"/>
              <w:jc w:val="center"/>
              <w:rPr>
                <w:b w:val="0"/>
                <w:sz w:val="22"/>
                <w:szCs w:val="22"/>
              </w:rPr>
            </w:pPr>
            <w:r w:rsidRPr="00AD79D2">
              <w:rPr>
                <w:sz w:val="22"/>
                <w:szCs w:val="22"/>
              </w:rPr>
              <w:t>2001</w:t>
            </w:r>
          </w:p>
        </w:tc>
        <w:tc>
          <w:tcPr>
            <w:tcW w:w="1389" w:type="dxa"/>
          </w:tcPr>
          <w:p w:rsidR="00E74274" w:rsidRPr="00AD79D2" w:rsidRDefault="00E74274" w:rsidP="00D77A6B">
            <w:pPr>
              <w:spacing w:line="360" w:lineRule="auto"/>
              <w:jc w:val="center"/>
              <w:cnfStyle w:val="100000000000"/>
              <w:rPr>
                <w:b w:val="0"/>
                <w:sz w:val="22"/>
                <w:szCs w:val="22"/>
              </w:rPr>
            </w:pPr>
            <w:r w:rsidRPr="00AD79D2">
              <w:rPr>
                <w:sz w:val="22"/>
                <w:szCs w:val="22"/>
              </w:rPr>
              <w:t>2002</w:t>
            </w:r>
          </w:p>
        </w:tc>
        <w:tc>
          <w:tcPr>
            <w:cnfStyle w:val="000100000000"/>
            <w:tcW w:w="1389" w:type="dxa"/>
          </w:tcPr>
          <w:p w:rsidR="00E74274" w:rsidRPr="00AD79D2" w:rsidRDefault="00E74274" w:rsidP="00D77A6B">
            <w:pPr>
              <w:spacing w:line="360" w:lineRule="auto"/>
              <w:jc w:val="center"/>
              <w:rPr>
                <w:b w:val="0"/>
                <w:sz w:val="22"/>
                <w:szCs w:val="22"/>
              </w:rPr>
            </w:pPr>
            <w:r w:rsidRPr="00AD79D2">
              <w:rPr>
                <w:sz w:val="22"/>
                <w:szCs w:val="22"/>
              </w:rPr>
              <w:t>2003</w:t>
            </w:r>
          </w:p>
        </w:tc>
      </w:tr>
      <w:tr w:rsidR="00E74274" w:rsidRPr="00AD79D2" w:rsidTr="00596998">
        <w:trPr>
          <w:cnfStyle w:val="000000100000"/>
        </w:trPr>
        <w:tc>
          <w:tcPr>
            <w:cnfStyle w:val="001000000000"/>
            <w:tcW w:w="2127" w:type="dxa"/>
          </w:tcPr>
          <w:p w:rsidR="00E74274" w:rsidRPr="00AD79D2" w:rsidRDefault="00E74274" w:rsidP="00D77A6B">
            <w:pPr>
              <w:spacing w:line="360" w:lineRule="auto"/>
              <w:jc w:val="center"/>
              <w:rPr>
                <w:b w:val="0"/>
                <w:i/>
                <w:sz w:val="22"/>
                <w:szCs w:val="22"/>
              </w:rPr>
            </w:pPr>
            <w:r w:rsidRPr="00AD79D2">
              <w:rPr>
                <w:b w:val="0"/>
                <w:i/>
                <w:sz w:val="22"/>
                <w:szCs w:val="22"/>
              </w:rPr>
              <w:t>Млрд. долл</w:t>
            </w:r>
          </w:p>
        </w:tc>
        <w:tc>
          <w:tcPr>
            <w:cnfStyle w:val="000010000000"/>
            <w:tcW w:w="1389" w:type="dxa"/>
          </w:tcPr>
          <w:p w:rsidR="00E74274" w:rsidRPr="00AD79D2" w:rsidRDefault="00E74274" w:rsidP="00D77A6B">
            <w:pPr>
              <w:spacing w:line="360" w:lineRule="auto"/>
              <w:jc w:val="center"/>
              <w:rPr>
                <w:sz w:val="22"/>
                <w:szCs w:val="22"/>
              </w:rPr>
            </w:pPr>
          </w:p>
        </w:tc>
        <w:tc>
          <w:tcPr>
            <w:tcW w:w="1389" w:type="dxa"/>
          </w:tcPr>
          <w:p w:rsidR="00E74274" w:rsidRPr="00AD79D2" w:rsidRDefault="00E74274" w:rsidP="00D77A6B">
            <w:pPr>
              <w:spacing w:line="360" w:lineRule="auto"/>
              <w:jc w:val="center"/>
              <w:cnfStyle w:val="000000100000"/>
              <w:rPr>
                <w:sz w:val="22"/>
                <w:szCs w:val="22"/>
              </w:rPr>
            </w:pPr>
          </w:p>
        </w:tc>
        <w:tc>
          <w:tcPr>
            <w:cnfStyle w:val="000010000000"/>
            <w:tcW w:w="1389" w:type="dxa"/>
          </w:tcPr>
          <w:p w:rsidR="00E74274" w:rsidRPr="00AD79D2" w:rsidRDefault="00E74274" w:rsidP="00D77A6B">
            <w:pPr>
              <w:spacing w:line="360" w:lineRule="auto"/>
              <w:jc w:val="center"/>
              <w:rPr>
                <w:sz w:val="22"/>
                <w:szCs w:val="22"/>
              </w:rPr>
            </w:pPr>
          </w:p>
        </w:tc>
        <w:tc>
          <w:tcPr>
            <w:tcW w:w="1389" w:type="dxa"/>
          </w:tcPr>
          <w:p w:rsidR="00E74274" w:rsidRPr="00AD79D2" w:rsidRDefault="00E74274" w:rsidP="00D77A6B">
            <w:pPr>
              <w:spacing w:line="360" w:lineRule="auto"/>
              <w:jc w:val="center"/>
              <w:cnfStyle w:val="000000100000"/>
              <w:rPr>
                <w:sz w:val="22"/>
                <w:szCs w:val="22"/>
              </w:rPr>
            </w:pPr>
          </w:p>
        </w:tc>
        <w:tc>
          <w:tcPr>
            <w:cnfStyle w:val="000100000000"/>
            <w:tcW w:w="1389" w:type="dxa"/>
          </w:tcPr>
          <w:p w:rsidR="00E74274" w:rsidRPr="00AD79D2" w:rsidRDefault="00E74274" w:rsidP="00D77A6B">
            <w:pPr>
              <w:spacing w:line="360" w:lineRule="auto"/>
              <w:jc w:val="center"/>
              <w:rPr>
                <w:sz w:val="22"/>
                <w:szCs w:val="22"/>
              </w:rPr>
            </w:pPr>
          </w:p>
        </w:tc>
      </w:tr>
      <w:tr w:rsidR="00E74274" w:rsidRPr="00AD79D2" w:rsidTr="00596998">
        <w:trPr>
          <w:cnfStyle w:val="000000010000"/>
        </w:trPr>
        <w:tc>
          <w:tcPr>
            <w:cnfStyle w:val="001000000000"/>
            <w:tcW w:w="2127" w:type="dxa"/>
          </w:tcPr>
          <w:p w:rsidR="00E74274" w:rsidRPr="00AD79D2" w:rsidRDefault="00E74274" w:rsidP="00D77A6B">
            <w:pPr>
              <w:spacing w:line="360" w:lineRule="auto"/>
              <w:rPr>
                <w:b w:val="0"/>
                <w:sz w:val="22"/>
                <w:szCs w:val="22"/>
              </w:rPr>
            </w:pPr>
            <w:r w:rsidRPr="00AD79D2">
              <w:rPr>
                <w:sz w:val="22"/>
                <w:szCs w:val="22"/>
              </w:rPr>
              <w:t>Нефтяной сектор</w:t>
            </w:r>
          </w:p>
        </w:tc>
        <w:tc>
          <w:tcPr>
            <w:cnfStyle w:val="000010000000"/>
            <w:tcW w:w="1389" w:type="dxa"/>
            <w:shd w:val="clear" w:color="auto" w:fill="auto"/>
          </w:tcPr>
          <w:p w:rsidR="00E74274" w:rsidRPr="00AD79D2" w:rsidRDefault="00E74274" w:rsidP="00D77A6B">
            <w:pPr>
              <w:spacing w:line="360" w:lineRule="auto"/>
              <w:jc w:val="center"/>
              <w:rPr>
                <w:sz w:val="22"/>
                <w:szCs w:val="22"/>
              </w:rPr>
            </w:pPr>
            <w:r w:rsidRPr="00AD79D2">
              <w:rPr>
                <w:sz w:val="22"/>
                <w:szCs w:val="22"/>
              </w:rPr>
              <w:t>26,3</w:t>
            </w:r>
          </w:p>
        </w:tc>
        <w:tc>
          <w:tcPr>
            <w:tcW w:w="1389" w:type="dxa"/>
          </w:tcPr>
          <w:p w:rsidR="00E74274" w:rsidRPr="00AD79D2" w:rsidRDefault="00E74274" w:rsidP="00D77A6B">
            <w:pPr>
              <w:spacing w:line="360" w:lineRule="auto"/>
              <w:jc w:val="center"/>
              <w:cnfStyle w:val="000000010000"/>
              <w:rPr>
                <w:sz w:val="22"/>
                <w:szCs w:val="22"/>
              </w:rPr>
            </w:pPr>
            <w:r w:rsidRPr="00AD79D2">
              <w:rPr>
                <w:sz w:val="22"/>
                <w:szCs w:val="22"/>
              </w:rPr>
              <w:t>48,4</w:t>
            </w:r>
          </w:p>
        </w:tc>
        <w:tc>
          <w:tcPr>
            <w:cnfStyle w:val="000010000000"/>
            <w:tcW w:w="1389" w:type="dxa"/>
            <w:shd w:val="clear" w:color="auto" w:fill="auto"/>
          </w:tcPr>
          <w:p w:rsidR="00E74274" w:rsidRPr="00AD79D2" w:rsidRDefault="00E74274" w:rsidP="00D77A6B">
            <w:pPr>
              <w:spacing w:line="360" w:lineRule="auto"/>
              <w:jc w:val="center"/>
              <w:rPr>
                <w:sz w:val="22"/>
                <w:szCs w:val="22"/>
              </w:rPr>
            </w:pPr>
            <w:r w:rsidRPr="00AD79D2">
              <w:rPr>
                <w:sz w:val="22"/>
                <w:szCs w:val="22"/>
              </w:rPr>
              <w:t>43,4</w:t>
            </w:r>
          </w:p>
        </w:tc>
        <w:tc>
          <w:tcPr>
            <w:tcW w:w="1389" w:type="dxa"/>
          </w:tcPr>
          <w:p w:rsidR="00E74274" w:rsidRPr="00AD79D2" w:rsidRDefault="00E74274" w:rsidP="00D77A6B">
            <w:pPr>
              <w:spacing w:line="360" w:lineRule="auto"/>
              <w:jc w:val="center"/>
              <w:cnfStyle w:val="000000010000"/>
              <w:rPr>
                <w:sz w:val="22"/>
                <w:szCs w:val="22"/>
              </w:rPr>
            </w:pPr>
            <w:r w:rsidRPr="00AD79D2">
              <w:rPr>
                <w:sz w:val="22"/>
                <w:szCs w:val="22"/>
              </w:rPr>
              <w:t>47,0</w:t>
            </w:r>
          </w:p>
        </w:tc>
        <w:tc>
          <w:tcPr>
            <w:cnfStyle w:val="000100000000"/>
            <w:tcW w:w="1389" w:type="dxa"/>
          </w:tcPr>
          <w:p w:rsidR="00E74274" w:rsidRPr="00AD79D2" w:rsidRDefault="00E74274" w:rsidP="00D77A6B">
            <w:pPr>
              <w:spacing w:line="360" w:lineRule="auto"/>
              <w:jc w:val="center"/>
              <w:rPr>
                <w:b w:val="0"/>
                <w:sz w:val="22"/>
                <w:szCs w:val="22"/>
              </w:rPr>
            </w:pPr>
            <w:r w:rsidRPr="00AD79D2">
              <w:rPr>
                <w:b w:val="0"/>
                <w:sz w:val="22"/>
                <w:szCs w:val="22"/>
              </w:rPr>
              <w:t>64,5</w:t>
            </w:r>
          </w:p>
        </w:tc>
      </w:tr>
      <w:tr w:rsidR="00E74274" w:rsidRPr="00AD79D2" w:rsidTr="00596998">
        <w:trPr>
          <w:cnfStyle w:val="000000100000"/>
        </w:trPr>
        <w:tc>
          <w:tcPr>
            <w:cnfStyle w:val="001000000000"/>
            <w:tcW w:w="2127" w:type="dxa"/>
          </w:tcPr>
          <w:p w:rsidR="00E74274" w:rsidRPr="00AD79D2" w:rsidRDefault="00E74274" w:rsidP="00D77A6B">
            <w:pPr>
              <w:spacing w:line="360" w:lineRule="auto"/>
              <w:rPr>
                <w:b w:val="0"/>
                <w:sz w:val="22"/>
                <w:szCs w:val="22"/>
              </w:rPr>
            </w:pPr>
            <w:r w:rsidRPr="00AD79D2">
              <w:rPr>
                <w:sz w:val="22"/>
                <w:szCs w:val="22"/>
              </w:rPr>
              <w:t>Газовый сектор</w:t>
            </w:r>
          </w:p>
        </w:tc>
        <w:tc>
          <w:tcPr>
            <w:cnfStyle w:val="000010000000"/>
            <w:tcW w:w="1389" w:type="dxa"/>
          </w:tcPr>
          <w:p w:rsidR="00E74274" w:rsidRPr="00AD79D2" w:rsidRDefault="00E74274" w:rsidP="00D77A6B">
            <w:pPr>
              <w:spacing w:line="360" w:lineRule="auto"/>
              <w:jc w:val="center"/>
              <w:rPr>
                <w:sz w:val="22"/>
                <w:szCs w:val="22"/>
              </w:rPr>
            </w:pPr>
            <w:r w:rsidRPr="00AD79D2">
              <w:rPr>
                <w:sz w:val="22"/>
                <w:szCs w:val="22"/>
              </w:rPr>
              <w:t>15,0</w:t>
            </w:r>
          </w:p>
        </w:tc>
        <w:tc>
          <w:tcPr>
            <w:tcW w:w="1389" w:type="dxa"/>
          </w:tcPr>
          <w:p w:rsidR="00E74274" w:rsidRPr="00AD79D2" w:rsidRDefault="00E74274" w:rsidP="00D77A6B">
            <w:pPr>
              <w:spacing w:line="360" w:lineRule="auto"/>
              <w:jc w:val="center"/>
              <w:cnfStyle w:val="000000100000"/>
              <w:rPr>
                <w:sz w:val="22"/>
                <w:szCs w:val="22"/>
              </w:rPr>
            </w:pPr>
            <w:r w:rsidRPr="00AD79D2">
              <w:rPr>
                <w:sz w:val="22"/>
                <w:szCs w:val="22"/>
              </w:rPr>
              <w:t>19,9</w:t>
            </w:r>
          </w:p>
        </w:tc>
        <w:tc>
          <w:tcPr>
            <w:cnfStyle w:val="000010000000"/>
            <w:tcW w:w="1389" w:type="dxa"/>
          </w:tcPr>
          <w:p w:rsidR="00E74274" w:rsidRPr="00AD79D2" w:rsidRDefault="00E74274" w:rsidP="00D77A6B">
            <w:pPr>
              <w:spacing w:line="360" w:lineRule="auto"/>
              <w:jc w:val="center"/>
              <w:rPr>
                <w:sz w:val="22"/>
                <w:szCs w:val="22"/>
              </w:rPr>
            </w:pPr>
            <w:r w:rsidRPr="00AD79D2">
              <w:rPr>
                <w:sz w:val="22"/>
                <w:szCs w:val="22"/>
              </w:rPr>
              <w:t>21,5</w:t>
            </w:r>
          </w:p>
        </w:tc>
        <w:tc>
          <w:tcPr>
            <w:tcW w:w="1389" w:type="dxa"/>
          </w:tcPr>
          <w:p w:rsidR="00E74274" w:rsidRPr="00AD79D2" w:rsidRDefault="00E74274" w:rsidP="00D77A6B">
            <w:pPr>
              <w:spacing w:line="360" w:lineRule="auto"/>
              <w:jc w:val="center"/>
              <w:cnfStyle w:val="000000100000"/>
              <w:rPr>
                <w:sz w:val="22"/>
                <w:szCs w:val="22"/>
              </w:rPr>
            </w:pPr>
            <w:r w:rsidRPr="00AD79D2">
              <w:rPr>
                <w:sz w:val="22"/>
                <w:szCs w:val="22"/>
              </w:rPr>
              <w:t>20,9</w:t>
            </w:r>
          </w:p>
        </w:tc>
        <w:tc>
          <w:tcPr>
            <w:cnfStyle w:val="000100000000"/>
            <w:tcW w:w="1389" w:type="dxa"/>
          </w:tcPr>
          <w:p w:rsidR="00E74274" w:rsidRPr="00AD79D2" w:rsidRDefault="00E74274" w:rsidP="00D77A6B">
            <w:pPr>
              <w:spacing w:line="360" w:lineRule="auto"/>
              <w:jc w:val="center"/>
              <w:rPr>
                <w:b w:val="0"/>
                <w:sz w:val="22"/>
                <w:szCs w:val="22"/>
              </w:rPr>
            </w:pPr>
            <w:r w:rsidRPr="00AD79D2">
              <w:rPr>
                <w:b w:val="0"/>
                <w:sz w:val="22"/>
                <w:szCs w:val="22"/>
              </w:rPr>
              <w:t>28,3</w:t>
            </w:r>
          </w:p>
        </w:tc>
      </w:tr>
      <w:tr w:rsidR="00E74274" w:rsidRPr="00AD79D2" w:rsidTr="00596998">
        <w:trPr>
          <w:cnfStyle w:val="000000010000"/>
        </w:trPr>
        <w:tc>
          <w:tcPr>
            <w:cnfStyle w:val="001000000000"/>
            <w:tcW w:w="2127" w:type="dxa"/>
          </w:tcPr>
          <w:p w:rsidR="00E74274" w:rsidRPr="00AD79D2" w:rsidRDefault="00E74274" w:rsidP="00D77A6B">
            <w:pPr>
              <w:spacing w:line="360" w:lineRule="auto"/>
              <w:rPr>
                <w:b w:val="0"/>
                <w:sz w:val="22"/>
                <w:szCs w:val="22"/>
              </w:rPr>
            </w:pPr>
            <w:r w:rsidRPr="00AD79D2">
              <w:rPr>
                <w:sz w:val="22"/>
                <w:szCs w:val="22"/>
              </w:rPr>
              <w:t>НГК всего</w:t>
            </w:r>
          </w:p>
        </w:tc>
        <w:tc>
          <w:tcPr>
            <w:cnfStyle w:val="000010000000"/>
            <w:tcW w:w="1389" w:type="dxa"/>
            <w:shd w:val="clear" w:color="auto" w:fill="auto"/>
          </w:tcPr>
          <w:p w:rsidR="00E74274" w:rsidRPr="00AD79D2" w:rsidRDefault="00E74274" w:rsidP="00D77A6B">
            <w:pPr>
              <w:spacing w:line="360" w:lineRule="auto"/>
              <w:jc w:val="center"/>
              <w:rPr>
                <w:b/>
                <w:sz w:val="22"/>
                <w:szCs w:val="22"/>
              </w:rPr>
            </w:pPr>
            <w:r w:rsidRPr="00AD79D2">
              <w:rPr>
                <w:b/>
                <w:sz w:val="22"/>
                <w:szCs w:val="22"/>
              </w:rPr>
              <w:t>41,3</w:t>
            </w:r>
          </w:p>
        </w:tc>
        <w:tc>
          <w:tcPr>
            <w:tcW w:w="1389" w:type="dxa"/>
          </w:tcPr>
          <w:p w:rsidR="00E74274" w:rsidRPr="00AD79D2" w:rsidRDefault="00E74274" w:rsidP="00D77A6B">
            <w:pPr>
              <w:spacing w:line="360" w:lineRule="auto"/>
              <w:jc w:val="center"/>
              <w:cnfStyle w:val="000000010000"/>
              <w:rPr>
                <w:b/>
                <w:sz w:val="22"/>
                <w:szCs w:val="22"/>
              </w:rPr>
            </w:pPr>
            <w:r w:rsidRPr="00AD79D2">
              <w:rPr>
                <w:b/>
                <w:sz w:val="22"/>
                <w:szCs w:val="22"/>
              </w:rPr>
              <w:t>68,3</w:t>
            </w:r>
          </w:p>
        </w:tc>
        <w:tc>
          <w:tcPr>
            <w:cnfStyle w:val="000010000000"/>
            <w:tcW w:w="1389" w:type="dxa"/>
            <w:shd w:val="clear" w:color="auto" w:fill="auto"/>
          </w:tcPr>
          <w:p w:rsidR="00E74274" w:rsidRPr="00AD79D2" w:rsidRDefault="00E74274" w:rsidP="00D77A6B">
            <w:pPr>
              <w:spacing w:line="360" w:lineRule="auto"/>
              <w:jc w:val="center"/>
              <w:rPr>
                <w:b/>
                <w:sz w:val="22"/>
                <w:szCs w:val="22"/>
              </w:rPr>
            </w:pPr>
            <w:r w:rsidRPr="00AD79D2">
              <w:rPr>
                <w:b/>
                <w:sz w:val="22"/>
                <w:szCs w:val="22"/>
              </w:rPr>
              <w:t>64,9</w:t>
            </w:r>
          </w:p>
        </w:tc>
        <w:tc>
          <w:tcPr>
            <w:tcW w:w="1389" w:type="dxa"/>
          </w:tcPr>
          <w:p w:rsidR="00E74274" w:rsidRPr="00AD79D2" w:rsidRDefault="00E74274" w:rsidP="00D77A6B">
            <w:pPr>
              <w:spacing w:line="360" w:lineRule="auto"/>
              <w:jc w:val="center"/>
              <w:cnfStyle w:val="000000010000"/>
              <w:rPr>
                <w:b/>
                <w:sz w:val="22"/>
                <w:szCs w:val="22"/>
              </w:rPr>
            </w:pPr>
            <w:r w:rsidRPr="00AD79D2">
              <w:rPr>
                <w:b/>
                <w:sz w:val="22"/>
                <w:szCs w:val="22"/>
              </w:rPr>
              <w:t>67,9</w:t>
            </w:r>
          </w:p>
        </w:tc>
        <w:tc>
          <w:tcPr>
            <w:cnfStyle w:val="000100000000"/>
            <w:tcW w:w="1389" w:type="dxa"/>
          </w:tcPr>
          <w:p w:rsidR="00E74274" w:rsidRPr="00AD79D2" w:rsidRDefault="00E74274" w:rsidP="00D77A6B">
            <w:pPr>
              <w:spacing w:line="360" w:lineRule="auto"/>
              <w:jc w:val="center"/>
              <w:rPr>
                <w:sz w:val="22"/>
                <w:szCs w:val="22"/>
              </w:rPr>
            </w:pPr>
            <w:r w:rsidRPr="00AD79D2">
              <w:rPr>
                <w:sz w:val="22"/>
                <w:szCs w:val="22"/>
              </w:rPr>
              <w:t>92,8</w:t>
            </w:r>
          </w:p>
        </w:tc>
      </w:tr>
      <w:tr w:rsidR="00E74274" w:rsidRPr="00AD79D2" w:rsidTr="00596998">
        <w:trPr>
          <w:cnfStyle w:val="000000100000"/>
        </w:trPr>
        <w:tc>
          <w:tcPr>
            <w:cnfStyle w:val="001000000000"/>
            <w:tcW w:w="2127" w:type="dxa"/>
          </w:tcPr>
          <w:p w:rsidR="00E74274" w:rsidRPr="00AD79D2" w:rsidRDefault="00E74274" w:rsidP="00D77A6B">
            <w:pPr>
              <w:spacing w:line="360" w:lineRule="auto"/>
              <w:jc w:val="center"/>
              <w:rPr>
                <w:b w:val="0"/>
                <w:i/>
                <w:sz w:val="22"/>
                <w:szCs w:val="22"/>
              </w:rPr>
            </w:pPr>
            <w:r w:rsidRPr="00AD79D2">
              <w:rPr>
                <w:b w:val="0"/>
                <w:i/>
                <w:sz w:val="22"/>
                <w:szCs w:val="22"/>
              </w:rPr>
              <w:t>% ВВП</w:t>
            </w:r>
          </w:p>
        </w:tc>
        <w:tc>
          <w:tcPr>
            <w:cnfStyle w:val="000010000000"/>
            <w:tcW w:w="1389" w:type="dxa"/>
          </w:tcPr>
          <w:p w:rsidR="00E74274" w:rsidRPr="00AD79D2" w:rsidRDefault="00E74274" w:rsidP="00D77A6B">
            <w:pPr>
              <w:spacing w:line="360" w:lineRule="auto"/>
              <w:jc w:val="center"/>
              <w:rPr>
                <w:sz w:val="22"/>
                <w:szCs w:val="22"/>
              </w:rPr>
            </w:pPr>
          </w:p>
        </w:tc>
        <w:tc>
          <w:tcPr>
            <w:tcW w:w="1389" w:type="dxa"/>
          </w:tcPr>
          <w:p w:rsidR="00E74274" w:rsidRPr="00AD79D2" w:rsidRDefault="00E74274" w:rsidP="00D77A6B">
            <w:pPr>
              <w:spacing w:line="360" w:lineRule="auto"/>
              <w:jc w:val="center"/>
              <w:cnfStyle w:val="000000100000"/>
              <w:rPr>
                <w:sz w:val="22"/>
                <w:szCs w:val="22"/>
              </w:rPr>
            </w:pPr>
          </w:p>
        </w:tc>
        <w:tc>
          <w:tcPr>
            <w:cnfStyle w:val="000010000000"/>
            <w:tcW w:w="1389" w:type="dxa"/>
          </w:tcPr>
          <w:p w:rsidR="00E74274" w:rsidRPr="00AD79D2" w:rsidRDefault="00E74274" w:rsidP="00D77A6B">
            <w:pPr>
              <w:spacing w:line="360" w:lineRule="auto"/>
              <w:jc w:val="center"/>
              <w:rPr>
                <w:sz w:val="22"/>
                <w:szCs w:val="22"/>
              </w:rPr>
            </w:pPr>
          </w:p>
        </w:tc>
        <w:tc>
          <w:tcPr>
            <w:tcW w:w="1389" w:type="dxa"/>
          </w:tcPr>
          <w:p w:rsidR="00E74274" w:rsidRPr="00AD79D2" w:rsidRDefault="00E74274" w:rsidP="00D77A6B">
            <w:pPr>
              <w:spacing w:line="360" w:lineRule="auto"/>
              <w:jc w:val="center"/>
              <w:cnfStyle w:val="000000100000"/>
              <w:rPr>
                <w:sz w:val="22"/>
                <w:szCs w:val="22"/>
              </w:rPr>
            </w:pPr>
          </w:p>
        </w:tc>
        <w:tc>
          <w:tcPr>
            <w:cnfStyle w:val="000100000000"/>
            <w:tcW w:w="1389" w:type="dxa"/>
          </w:tcPr>
          <w:p w:rsidR="00E74274" w:rsidRPr="00AD79D2" w:rsidRDefault="00E74274" w:rsidP="00D77A6B">
            <w:pPr>
              <w:spacing w:line="360" w:lineRule="auto"/>
              <w:jc w:val="center"/>
              <w:rPr>
                <w:b w:val="0"/>
                <w:sz w:val="22"/>
                <w:szCs w:val="22"/>
              </w:rPr>
            </w:pPr>
          </w:p>
        </w:tc>
      </w:tr>
      <w:tr w:rsidR="00E74274" w:rsidRPr="00AD79D2" w:rsidTr="00596998">
        <w:trPr>
          <w:cnfStyle w:val="000000010000"/>
        </w:trPr>
        <w:tc>
          <w:tcPr>
            <w:cnfStyle w:val="001000000000"/>
            <w:tcW w:w="2127" w:type="dxa"/>
          </w:tcPr>
          <w:p w:rsidR="00E74274" w:rsidRPr="00AD79D2" w:rsidRDefault="00E74274" w:rsidP="00D77A6B">
            <w:pPr>
              <w:spacing w:line="360" w:lineRule="auto"/>
              <w:rPr>
                <w:b w:val="0"/>
                <w:sz w:val="22"/>
                <w:szCs w:val="22"/>
              </w:rPr>
            </w:pPr>
            <w:r w:rsidRPr="00AD79D2">
              <w:rPr>
                <w:sz w:val="22"/>
                <w:szCs w:val="22"/>
              </w:rPr>
              <w:t>Нефтяной сектор</w:t>
            </w:r>
          </w:p>
        </w:tc>
        <w:tc>
          <w:tcPr>
            <w:cnfStyle w:val="000010000000"/>
            <w:tcW w:w="1389" w:type="dxa"/>
            <w:shd w:val="clear" w:color="auto" w:fill="auto"/>
          </w:tcPr>
          <w:p w:rsidR="00E74274" w:rsidRPr="00AD79D2" w:rsidRDefault="00E74274" w:rsidP="00D77A6B">
            <w:pPr>
              <w:spacing w:line="360" w:lineRule="auto"/>
              <w:jc w:val="center"/>
              <w:rPr>
                <w:sz w:val="22"/>
                <w:szCs w:val="22"/>
              </w:rPr>
            </w:pPr>
            <w:r w:rsidRPr="00AD79D2">
              <w:rPr>
                <w:sz w:val="22"/>
                <w:szCs w:val="22"/>
              </w:rPr>
              <w:t>13,4%</w:t>
            </w:r>
          </w:p>
        </w:tc>
        <w:tc>
          <w:tcPr>
            <w:tcW w:w="1389" w:type="dxa"/>
          </w:tcPr>
          <w:p w:rsidR="00E74274" w:rsidRPr="00AD79D2" w:rsidRDefault="00E74274" w:rsidP="00D77A6B">
            <w:pPr>
              <w:spacing w:line="360" w:lineRule="auto"/>
              <w:jc w:val="center"/>
              <w:cnfStyle w:val="000000010000"/>
              <w:rPr>
                <w:sz w:val="22"/>
                <w:szCs w:val="22"/>
              </w:rPr>
            </w:pPr>
            <w:r w:rsidRPr="00AD79D2">
              <w:rPr>
                <w:sz w:val="22"/>
                <w:szCs w:val="22"/>
              </w:rPr>
              <w:t>18,6%</w:t>
            </w:r>
          </w:p>
        </w:tc>
        <w:tc>
          <w:tcPr>
            <w:cnfStyle w:val="000010000000"/>
            <w:tcW w:w="1389" w:type="dxa"/>
            <w:shd w:val="clear" w:color="auto" w:fill="auto"/>
          </w:tcPr>
          <w:p w:rsidR="00E74274" w:rsidRPr="00AD79D2" w:rsidRDefault="00E74274" w:rsidP="00D77A6B">
            <w:pPr>
              <w:spacing w:line="360" w:lineRule="auto"/>
              <w:jc w:val="center"/>
              <w:rPr>
                <w:sz w:val="22"/>
                <w:szCs w:val="22"/>
              </w:rPr>
            </w:pPr>
            <w:r w:rsidRPr="00AD79D2">
              <w:rPr>
                <w:sz w:val="22"/>
                <w:szCs w:val="22"/>
              </w:rPr>
              <w:t>14,2%</w:t>
            </w:r>
          </w:p>
        </w:tc>
        <w:tc>
          <w:tcPr>
            <w:tcW w:w="1389" w:type="dxa"/>
          </w:tcPr>
          <w:p w:rsidR="00E74274" w:rsidRPr="00AD79D2" w:rsidRDefault="00E74274" w:rsidP="00D77A6B">
            <w:pPr>
              <w:spacing w:line="360" w:lineRule="auto"/>
              <w:jc w:val="center"/>
              <w:cnfStyle w:val="000000010000"/>
              <w:rPr>
                <w:sz w:val="22"/>
                <w:szCs w:val="22"/>
              </w:rPr>
            </w:pPr>
            <w:r w:rsidRPr="00AD79D2">
              <w:rPr>
                <w:sz w:val="22"/>
                <w:szCs w:val="22"/>
              </w:rPr>
              <w:t>13,6%</w:t>
            </w:r>
          </w:p>
        </w:tc>
        <w:tc>
          <w:tcPr>
            <w:cnfStyle w:val="000100000000"/>
            <w:tcW w:w="1389" w:type="dxa"/>
          </w:tcPr>
          <w:p w:rsidR="00E74274" w:rsidRPr="00AD79D2" w:rsidRDefault="00E74274" w:rsidP="00D77A6B">
            <w:pPr>
              <w:spacing w:line="360" w:lineRule="auto"/>
              <w:jc w:val="center"/>
              <w:rPr>
                <w:b w:val="0"/>
                <w:sz w:val="22"/>
                <w:szCs w:val="22"/>
              </w:rPr>
            </w:pPr>
            <w:r w:rsidRPr="00AD79D2">
              <w:rPr>
                <w:b w:val="0"/>
                <w:sz w:val="22"/>
                <w:szCs w:val="22"/>
              </w:rPr>
              <w:t>14,9%</w:t>
            </w:r>
          </w:p>
        </w:tc>
      </w:tr>
      <w:tr w:rsidR="00E74274" w:rsidRPr="00AD79D2" w:rsidTr="00372FBC">
        <w:trPr>
          <w:cnfStyle w:val="000000100000"/>
        </w:trPr>
        <w:tc>
          <w:tcPr>
            <w:cnfStyle w:val="001000000000"/>
            <w:tcW w:w="2127" w:type="dxa"/>
            <w:tcBorders>
              <w:bottom w:val="single" w:sz="4" w:space="0" w:color="95B3D7" w:themeColor="accent1" w:themeTint="99"/>
            </w:tcBorders>
          </w:tcPr>
          <w:p w:rsidR="00E74274" w:rsidRPr="00AD79D2" w:rsidRDefault="00E74274" w:rsidP="00D77A6B">
            <w:pPr>
              <w:spacing w:line="360" w:lineRule="auto"/>
              <w:rPr>
                <w:b w:val="0"/>
                <w:sz w:val="22"/>
                <w:szCs w:val="22"/>
              </w:rPr>
            </w:pPr>
            <w:r w:rsidRPr="00AD79D2">
              <w:rPr>
                <w:sz w:val="22"/>
                <w:szCs w:val="22"/>
              </w:rPr>
              <w:t>Газовый сектор</w:t>
            </w:r>
          </w:p>
        </w:tc>
        <w:tc>
          <w:tcPr>
            <w:cnfStyle w:val="000010000000"/>
            <w:tcW w:w="1389" w:type="dxa"/>
            <w:tcBorders>
              <w:bottom w:val="single" w:sz="4" w:space="0" w:color="95B3D7" w:themeColor="accent1" w:themeTint="99"/>
            </w:tcBorders>
          </w:tcPr>
          <w:p w:rsidR="00E74274" w:rsidRPr="00AD79D2" w:rsidRDefault="00E74274" w:rsidP="00D77A6B">
            <w:pPr>
              <w:spacing w:line="360" w:lineRule="auto"/>
              <w:jc w:val="center"/>
              <w:rPr>
                <w:sz w:val="22"/>
                <w:szCs w:val="22"/>
              </w:rPr>
            </w:pPr>
            <w:r w:rsidRPr="00AD79D2">
              <w:rPr>
                <w:sz w:val="22"/>
                <w:szCs w:val="22"/>
              </w:rPr>
              <w:t>7,6%</w:t>
            </w:r>
          </w:p>
        </w:tc>
        <w:tc>
          <w:tcPr>
            <w:tcW w:w="1389" w:type="dxa"/>
            <w:tcBorders>
              <w:bottom w:val="single" w:sz="4" w:space="0" w:color="95B3D7" w:themeColor="accent1" w:themeTint="99"/>
            </w:tcBorders>
          </w:tcPr>
          <w:p w:rsidR="00E74274" w:rsidRPr="00AD79D2" w:rsidRDefault="00E74274" w:rsidP="00D77A6B">
            <w:pPr>
              <w:spacing w:line="360" w:lineRule="auto"/>
              <w:jc w:val="center"/>
              <w:cnfStyle w:val="000000100000"/>
              <w:rPr>
                <w:sz w:val="22"/>
                <w:szCs w:val="22"/>
              </w:rPr>
            </w:pPr>
            <w:r w:rsidRPr="00AD79D2">
              <w:rPr>
                <w:sz w:val="22"/>
                <w:szCs w:val="22"/>
              </w:rPr>
              <w:t>7,7%</w:t>
            </w:r>
          </w:p>
        </w:tc>
        <w:tc>
          <w:tcPr>
            <w:cnfStyle w:val="000010000000"/>
            <w:tcW w:w="1389" w:type="dxa"/>
            <w:tcBorders>
              <w:bottom w:val="single" w:sz="4" w:space="0" w:color="95B3D7" w:themeColor="accent1" w:themeTint="99"/>
            </w:tcBorders>
          </w:tcPr>
          <w:p w:rsidR="00E74274" w:rsidRPr="00AD79D2" w:rsidRDefault="00E74274" w:rsidP="00D77A6B">
            <w:pPr>
              <w:spacing w:line="360" w:lineRule="auto"/>
              <w:jc w:val="center"/>
              <w:rPr>
                <w:sz w:val="22"/>
                <w:szCs w:val="22"/>
              </w:rPr>
            </w:pPr>
            <w:r w:rsidRPr="00AD79D2">
              <w:rPr>
                <w:sz w:val="22"/>
                <w:szCs w:val="22"/>
              </w:rPr>
              <w:t>7,0%</w:t>
            </w:r>
          </w:p>
        </w:tc>
        <w:tc>
          <w:tcPr>
            <w:tcW w:w="1389" w:type="dxa"/>
            <w:tcBorders>
              <w:bottom w:val="single" w:sz="4" w:space="0" w:color="95B3D7" w:themeColor="accent1" w:themeTint="99"/>
            </w:tcBorders>
          </w:tcPr>
          <w:p w:rsidR="00E74274" w:rsidRPr="00AD79D2" w:rsidRDefault="00E74274" w:rsidP="00D77A6B">
            <w:pPr>
              <w:spacing w:line="360" w:lineRule="auto"/>
              <w:jc w:val="center"/>
              <w:cnfStyle w:val="000000100000"/>
              <w:rPr>
                <w:sz w:val="22"/>
                <w:szCs w:val="22"/>
              </w:rPr>
            </w:pPr>
            <w:r w:rsidRPr="00AD79D2">
              <w:rPr>
                <w:sz w:val="22"/>
                <w:szCs w:val="22"/>
              </w:rPr>
              <w:t>6,0%</w:t>
            </w:r>
          </w:p>
        </w:tc>
        <w:tc>
          <w:tcPr>
            <w:cnfStyle w:val="000100000000"/>
            <w:tcW w:w="1389" w:type="dxa"/>
            <w:tcBorders>
              <w:bottom w:val="single" w:sz="4" w:space="0" w:color="95B3D7" w:themeColor="accent1" w:themeTint="99"/>
            </w:tcBorders>
          </w:tcPr>
          <w:p w:rsidR="00E74274" w:rsidRPr="00AD79D2" w:rsidRDefault="00E74274" w:rsidP="00D77A6B">
            <w:pPr>
              <w:spacing w:line="360" w:lineRule="auto"/>
              <w:jc w:val="center"/>
              <w:rPr>
                <w:b w:val="0"/>
                <w:sz w:val="22"/>
                <w:szCs w:val="22"/>
              </w:rPr>
            </w:pPr>
            <w:r w:rsidRPr="00AD79D2">
              <w:rPr>
                <w:b w:val="0"/>
                <w:sz w:val="22"/>
                <w:szCs w:val="22"/>
              </w:rPr>
              <w:t>6,5%</w:t>
            </w:r>
          </w:p>
        </w:tc>
      </w:tr>
      <w:tr w:rsidR="00E74274" w:rsidRPr="00AD79D2" w:rsidTr="00372FBC">
        <w:trPr>
          <w:cnfStyle w:val="010000000000"/>
        </w:trPr>
        <w:tc>
          <w:tcPr>
            <w:cnfStyle w:val="001000000000"/>
            <w:tcW w:w="2127" w:type="dxa"/>
            <w:tcBorders>
              <w:top w:val="single" w:sz="4" w:space="0" w:color="95B3D7" w:themeColor="accent1" w:themeTint="99"/>
            </w:tcBorders>
          </w:tcPr>
          <w:p w:rsidR="00E74274" w:rsidRPr="00AD79D2" w:rsidRDefault="00E74274" w:rsidP="00D77A6B">
            <w:pPr>
              <w:spacing w:line="360" w:lineRule="auto"/>
              <w:rPr>
                <w:b w:val="0"/>
                <w:sz w:val="22"/>
                <w:szCs w:val="22"/>
              </w:rPr>
            </w:pPr>
            <w:r w:rsidRPr="00AD79D2">
              <w:rPr>
                <w:sz w:val="22"/>
                <w:szCs w:val="22"/>
              </w:rPr>
              <w:t>НГК всего</w:t>
            </w:r>
          </w:p>
        </w:tc>
        <w:tc>
          <w:tcPr>
            <w:cnfStyle w:val="000010000000"/>
            <w:tcW w:w="1389" w:type="dxa"/>
            <w:tcBorders>
              <w:top w:val="single" w:sz="4" w:space="0" w:color="95B3D7" w:themeColor="accent1" w:themeTint="99"/>
            </w:tcBorders>
            <w:shd w:val="clear" w:color="auto" w:fill="auto"/>
          </w:tcPr>
          <w:p w:rsidR="00E74274" w:rsidRPr="00AD79D2" w:rsidRDefault="00E74274" w:rsidP="00D77A6B">
            <w:pPr>
              <w:spacing w:line="360" w:lineRule="auto"/>
              <w:jc w:val="center"/>
              <w:rPr>
                <w:sz w:val="22"/>
                <w:szCs w:val="22"/>
              </w:rPr>
            </w:pPr>
            <w:r w:rsidRPr="00AD79D2">
              <w:rPr>
                <w:sz w:val="22"/>
                <w:szCs w:val="22"/>
              </w:rPr>
              <w:t>21,0%</w:t>
            </w:r>
          </w:p>
        </w:tc>
        <w:tc>
          <w:tcPr>
            <w:tcW w:w="1389" w:type="dxa"/>
            <w:tcBorders>
              <w:top w:val="single" w:sz="4" w:space="0" w:color="95B3D7" w:themeColor="accent1" w:themeTint="99"/>
            </w:tcBorders>
          </w:tcPr>
          <w:p w:rsidR="00E74274" w:rsidRPr="00AD79D2" w:rsidRDefault="00E74274" w:rsidP="00D77A6B">
            <w:pPr>
              <w:spacing w:line="360" w:lineRule="auto"/>
              <w:jc w:val="center"/>
              <w:cnfStyle w:val="010000000000"/>
              <w:rPr>
                <w:sz w:val="22"/>
                <w:szCs w:val="22"/>
              </w:rPr>
            </w:pPr>
            <w:r w:rsidRPr="00AD79D2">
              <w:rPr>
                <w:sz w:val="22"/>
                <w:szCs w:val="22"/>
              </w:rPr>
              <w:t>26,3%</w:t>
            </w:r>
          </w:p>
        </w:tc>
        <w:tc>
          <w:tcPr>
            <w:cnfStyle w:val="000010000000"/>
            <w:tcW w:w="1389" w:type="dxa"/>
            <w:tcBorders>
              <w:top w:val="single" w:sz="4" w:space="0" w:color="95B3D7" w:themeColor="accent1" w:themeTint="99"/>
            </w:tcBorders>
            <w:shd w:val="clear" w:color="auto" w:fill="auto"/>
          </w:tcPr>
          <w:p w:rsidR="00E74274" w:rsidRPr="00AD79D2" w:rsidRDefault="00E74274" w:rsidP="00D77A6B">
            <w:pPr>
              <w:spacing w:line="360" w:lineRule="auto"/>
              <w:jc w:val="center"/>
              <w:rPr>
                <w:sz w:val="22"/>
                <w:szCs w:val="22"/>
              </w:rPr>
            </w:pPr>
            <w:r w:rsidRPr="00AD79D2">
              <w:rPr>
                <w:sz w:val="22"/>
                <w:szCs w:val="22"/>
              </w:rPr>
              <w:t>21,2%</w:t>
            </w:r>
          </w:p>
        </w:tc>
        <w:tc>
          <w:tcPr>
            <w:tcW w:w="1389" w:type="dxa"/>
            <w:tcBorders>
              <w:top w:val="single" w:sz="4" w:space="0" w:color="95B3D7" w:themeColor="accent1" w:themeTint="99"/>
            </w:tcBorders>
          </w:tcPr>
          <w:p w:rsidR="00E74274" w:rsidRPr="00AD79D2" w:rsidRDefault="00E74274" w:rsidP="00D77A6B">
            <w:pPr>
              <w:spacing w:line="360" w:lineRule="auto"/>
              <w:jc w:val="center"/>
              <w:cnfStyle w:val="010000000000"/>
              <w:rPr>
                <w:sz w:val="22"/>
                <w:szCs w:val="22"/>
              </w:rPr>
            </w:pPr>
            <w:r w:rsidRPr="00AD79D2">
              <w:rPr>
                <w:sz w:val="22"/>
                <w:szCs w:val="22"/>
              </w:rPr>
              <w:t>19,6%</w:t>
            </w:r>
          </w:p>
        </w:tc>
        <w:tc>
          <w:tcPr>
            <w:cnfStyle w:val="000100000000"/>
            <w:tcW w:w="1389" w:type="dxa"/>
            <w:tcBorders>
              <w:top w:val="single" w:sz="4" w:space="0" w:color="95B3D7" w:themeColor="accent1" w:themeTint="99"/>
            </w:tcBorders>
          </w:tcPr>
          <w:p w:rsidR="00E74274" w:rsidRPr="00AD79D2" w:rsidRDefault="00E74274" w:rsidP="00D77A6B">
            <w:pPr>
              <w:spacing w:line="360" w:lineRule="auto"/>
              <w:jc w:val="center"/>
              <w:rPr>
                <w:sz w:val="22"/>
                <w:szCs w:val="22"/>
              </w:rPr>
            </w:pPr>
            <w:r w:rsidRPr="00AD79D2">
              <w:rPr>
                <w:sz w:val="22"/>
                <w:szCs w:val="22"/>
              </w:rPr>
              <w:t>21,4%</w:t>
            </w:r>
          </w:p>
        </w:tc>
      </w:tr>
    </w:tbl>
    <w:p w:rsidR="00B203C8" w:rsidRPr="00707363" w:rsidRDefault="00E74274" w:rsidP="00CF1EA1">
      <w:pPr>
        <w:spacing w:after="0"/>
        <w:rPr>
          <w:rStyle w:val="af8"/>
        </w:rPr>
      </w:pPr>
      <w:r w:rsidRPr="00707363">
        <w:rPr>
          <w:rStyle w:val="af8"/>
        </w:rPr>
        <w:t>Источник: Гурвич Е.Т. Макроэкономическая оценка роли российского нефтегазового сектора</w:t>
      </w:r>
    </w:p>
    <w:p w:rsidR="00400D5A" w:rsidRDefault="00400D5A" w:rsidP="00885DDA">
      <w:pPr>
        <w:spacing w:after="0" w:line="360" w:lineRule="auto"/>
        <w:ind w:firstLine="851"/>
        <w:jc w:val="both"/>
        <w:rPr>
          <w:sz w:val="26"/>
          <w:szCs w:val="26"/>
        </w:rPr>
      </w:pPr>
    </w:p>
    <w:p w:rsidR="00E74274" w:rsidRPr="006F579C" w:rsidRDefault="00E74274" w:rsidP="00885DDA">
      <w:pPr>
        <w:spacing w:after="0" w:line="360" w:lineRule="auto"/>
        <w:ind w:firstLine="851"/>
        <w:jc w:val="both"/>
        <w:rPr>
          <w:sz w:val="28"/>
          <w:szCs w:val="28"/>
        </w:rPr>
      </w:pPr>
      <w:r w:rsidRPr="006F579C">
        <w:rPr>
          <w:sz w:val="28"/>
          <w:szCs w:val="28"/>
        </w:rPr>
        <w:t xml:space="preserve">Кроме того, что </w:t>
      </w:r>
      <w:r w:rsidR="004438E4" w:rsidRPr="006F579C">
        <w:rPr>
          <w:sz w:val="28"/>
          <w:szCs w:val="28"/>
        </w:rPr>
        <w:t xml:space="preserve">в указанный период наблюдался </w:t>
      </w:r>
      <w:r w:rsidRPr="006F579C">
        <w:rPr>
          <w:sz w:val="28"/>
          <w:szCs w:val="28"/>
        </w:rPr>
        <w:t>рост экспорта углеводородов, как в абсолютном выражении, так и в процентах от общего объема экспорта, что на фоне стабильного роста цен привело к увеличению зависимости бюджетной системы от сырьевых доходов, о чем свидетельствуют данные Таб. 2 и Рис. 1.</w:t>
      </w:r>
    </w:p>
    <w:p w:rsidR="00E74274" w:rsidRPr="00985D29" w:rsidRDefault="00E74274" w:rsidP="009960EC">
      <w:pPr>
        <w:spacing w:after="0"/>
        <w:ind w:firstLine="1080"/>
        <w:jc w:val="right"/>
        <w:rPr>
          <w:i/>
          <w:sz w:val="26"/>
          <w:szCs w:val="26"/>
        </w:rPr>
      </w:pPr>
      <w:r w:rsidRPr="00985D29">
        <w:rPr>
          <w:i/>
          <w:sz w:val="26"/>
          <w:szCs w:val="26"/>
        </w:rPr>
        <w:t>Таблица 2</w:t>
      </w:r>
    </w:p>
    <w:p w:rsidR="00E74274" w:rsidRPr="00985D29" w:rsidRDefault="00E74274" w:rsidP="009960EC">
      <w:pPr>
        <w:spacing w:after="0"/>
        <w:jc w:val="center"/>
        <w:rPr>
          <w:b/>
          <w:sz w:val="26"/>
          <w:szCs w:val="26"/>
        </w:rPr>
      </w:pPr>
      <w:r w:rsidRPr="00985D29">
        <w:rPr>
          <w:b/>
          <w:sz w:val="26"/>
          <w:szCs w:val="26"/>
        </w:rPr>
        <w:t>Экспорт углеводородов в 1999-2003 гг.</w:t>
      </w:r>
    </w:p>
    <w:tbl>
      <w:tblPr>
        <w:tblStyle w:val="1-11"/>
        <w:tblW w:w="9120" w:type="dxa"/>
        <w:tblLayout w:type="fixed"/>
        <w:tblLook w:val="01E0"/>
      </w:tblPr>
      <w:tblGrid>
        <w:gridCol w:w="2520"/>
        <w:gridCol w:w="1320"/>
        <w:gridCol w:w="1320"/>
        <w:gridCol w:w="1320"/>
        <w:gridCol w:w="1320"/>
        <w:gridCol w:w="1320"/>
      </w:tblGrid>
      <w:tr w:rsidR="00E74274" w:rsidRPr="00AD79D2" w:rsidTr="00596998">
        <w:trPr>
          <w:cnfStyle w:val="100000000000"/>
        </w:trPr>
        <w:tc>
          <w:tcPr>
            <w:cnfStyle w:val="001000000000"/>
            <w:tcW w:w="2520" w:type="dxa"/>
          </w:tcPr>
          <w:p w:rsidR="00E74274" w:rsidRPr="00AD79D2" w:rsidRDefault="00E74274" w:rsidP="00D77A6B">
            <w:pPr>
              <w:jc w:val="both"/>
              <w:rPr>
                <w:sz w:val="22"/>
                <w:szCs w:val="22"/>
              </w:rPr>
            </w:pPr>
          </w:p>
        </w:tc>
        <w:tc>
          <w:tcPr>
            <w:cnfStyle w:val="000010000000"/>
            <w:tcW w:w="1320" w:type="dxa"/>
          </w:tcPr>
          <w:p w:rsidR="00E74274" w:rsidRPr="00AD79D2" w:rsidRDefault="00E74274" w:rsidP="00D77A6B">
            <w:pPr>
              <w:spacing w:line="360" w:lineRule="auto"/>
              <w:jc w:val="center"/>
              <w:rPr>
                <w:b w:val="0"/>
                <w:sz w:val="22"/>
                <w:szCs w:val="22"/>
              </w:rPr>
            </w:pPr>
            <w:r w:rsidRPr="00AD79D2">
              <w:rPr>
                <w:sz w:val="22"/>
                <w:szCs w:val="22"/>
              </w:rPr>
              <w:t>1999</w:t>
            </w:r>
          </w:p>
        </w:tc>
        <w:tc>
          <w:tcPr>
            <w:tcW w:w="1320" w:type="dxa"/>
          </w:tcPr>
          <w:p w:rsidR="00E74274" w:rsidRPr="00AD79D2" w:rsidRDefault="00E74274" w:rsidP="00D77A6B">
            <w:pPr>
              <w:spacing w:line="360" w:lineRule="auto"/>
              <w:jc w:val="center"/>
              <w:cnfStyle w:val="100000000000"/>
              <w:rPr>
                <w:b w:val="0"/>
                <w:sz w:val="22"/>
                <w:szCs w:val="22"/>
              </w:rPr>
            </w:pPr>
            <w:r w:rsidRPr="00AD79D2">
              <w:rPr>
                <w:sz w:val="22"/>
                <w:szCs w:val="22"/>
              </w:rPr>
              <w:t>2000</w:t>
            </w:r>
          </w:p>
        </w:tc>
        <w:tc>
          <w:tcPr>
            <w:cnfStyle w:val="000010000000"/>
            <w:tcW w:w="1320" w:type="dxa"/>
          </w:tcPr>
          <w:p w:rsidR="00E74274" w:rsidRPr="00AD79D2" w:rsidRDefault="00E74274" w:rsidP="00D77A6B">
            <w:pPr>
              <w:spacing w:line="360" w:lineRule="auto"/>
              <w:jc w:val="center"/>
              <w:rPr>
                <w:b w:val="0"/>
                <w:sz w:val="22"/>
                <w:szCs w:val="22"/>
              </w:rPr>
            </w:pPr>
            <w:r w:rsidRPr="00AD79D2">
              <w:rPr>
                <w:sz w:val="22"/>
                <w:szCs w:val="22"/>
              </w:rPr>
              <w:t>2001</w:t>
            </w:r>
          </w:p>
        </w:tc>
        <w:tc>
          <w:tcPr>
            <w:tcW w:w="1320" w:type="dxa"/>
          </w:tcPr>
          <w:p w:rsidR="00E74274" w:rsidRPr="00AD79D2" w:rsidRDefault="00E74274" w:rsidP="00D77A6B">
            <w:pPr>
              <w:spacing w:line="360" w:lineRule="auto"/>
              <w:jc w:val="center"/>
              <w:cnfStyle w:val="100000000000"/>
              <w:rPr>
                <w:b w:val="0"/>
                <w:sz w:val="22"/>
                <w:szCs w:val="22"/>
              </w:rPr>
            </w:pPr>
            <w:r w:rsidRPr="00AD79D2">
              <w:rPr>
                <w:sz w:val="22"/>
                <w:szCs w:val="22"/>
              </w:rPr>
              <w:t>2002</w:t>
            </w:r>
          </w:p>
        </w:tc>
        <w:tc>
          <w:tcPr>
            <w:cnfStyle w:val="000100000000"/>
            <w:tcW w:w="1320" w:type="dxa"/>
          </w:tcPr>
          <w:p w:rsidR="00E74274" w:rsidRPr="00AD79D2" w:rsidRDefault="00E74274" w:rsidP="00D77A6B">
            <w:pPr>
              <w:spacing w:line="360" w:lineRule="auto"/>
              <w:jc w:val="center"/>
              <w:rPr>
                <w:b w:val="0"/>
                <w:sz w:val="22"/>
                <w:szCs w:val="22"/>
              </w:rPr>
            </w:pPr>
            <w:r w:rsidRPr="00AD79D2">
              <w:rPr>
                <w:sz w:val="22"/>
                <w:szCs w:val="22"/>
              </w:rPr>
              <w:t>2003</w:t>
            </w:r>
          </w:p>
        </w:tc>
      </w:tr>
      <w:tr w:rsidR="00CF1EA1" w:rsidRPr="00AD79D2" w:rsidTr="00372FBC">
        <w:trPr>
          <w:cnfStyle w:val="000000100000"/>
        </w:trPr>
        <w:tc>
          <w:tcPr>
            <w:cnfStyle w:val="001000000000"/>
            <w:tcW w:w="2520" w:type="dxa"/>
          </w:tcPr>
          <w:p w:rsidR="00CF1EA1" w:rsidRPr="00AD79D2" w:rsidRDefault="00CF1EA1" w:rsidP="000F77AE">
            <w:pPr>
              <w:rPr>
                <w:b w:val="0"/>
                <w:sz w:val="22"/>
                <w:szCs w:val="22"/>
              </w:rPr>
            </w:pPr>
            <w:r w:rsidRPr="00AD79D2">
              <w:rPr>
                <w:sz w:val="22"/>
                <w:szCs w:val="22"/>
              </w:rPr>
              <w:t>Мировая цена на нефть (долл./барр.)</w:t>
            </w:r>
          </w:p>
        </w:tc>
        <w:tc>
          <w:tcPr>
            <w:cnfStyle w:val="000010000000"/>
            <w:tcW w:w="1320" w:type="dxa"/>
            <w:vAlign w:val="center"/>
          </w:tcPr>
          <w:p w:rsidR="00CF1EA1" w:rsidRPr="00AD79D2" w:rsidRDefault="00CF1EA1" w:rsidP="000F77AE">
            <w:pPr>
              <w:spacing w:line="360" w:lineRule="auto"/>
              <w:jc w:val="center"/>
              <w:rPr>
                <w:b/>
                <w:sz w:val="22"/>
                <w:szCs w:val="22"/>
              </w:rPr>
            </w:pPr>
            <w:r w:rsidRPr="00AD79D2">
              <w:rPr>
                <w:b/>
                <w:sz w:val="22"/>
                <w:szCs w:val="22"/>
              </w:rPr>
              <w:t>17,1</w:t>
            </w:r>
          </w:p>
        </w:tc>
        <w:tc>
          <w:tcPr>
            <w:tcW w:w="1320" w:type="dxa"/>
            <w:vAlign w:val="center"/>
          </w:tcPr>
          <w:p w:rsidR="00CF1EA1" w:rsidRPr="00AD79D2" w:rsidRDefault="00CF1EA1" w:rsidP="000F77AE">
            <w:pPr>
              <w:spacing w:line="360" w:lineRule="auto"/>
              <w:jc w:val="center"/>
              <w:cnfStyle w:val="000000100000"/>
              <w:rPr>
                <w:b/>
                <w:sz w:val="22"/>
                <w:szCs w:val="22"/>
              </w:rPr>
            </w:pPr>
            <w:r w:rsidRPr="00AD79D2">
              <w:rPr>
                <w:b/>
                <w:sz w:val="22"/>
                <w:szCs w:val="22"/>
              </w:rPr>
              <w:t>26,7</w:t>
            </w:r>
          </w:p>
        </w:tc>
        <w:tc>
          <w:tcPr>
            <w:cnfStyle w:val="000010000000"/>
            <w:tcW w:w="1320" w:type="dxa"/>
            <w:vAlign w:val="center"/>
          </w:tcPr>
          <w:p w:rsidR="00CF1EA1" w:rsidRPr="00AD79D2" w:rsidRDefault="00CF1EA1" w:rsidP="000F77AE">
            <w:pPr>
              <w:spacing w:line="360" w:lineRule="auto"/>
              <w:jc w:val="center"/>
              <w:rPr>
                <w:b/>
                <w:sz w:val="22"/>
                <w:szCs w:val="22"/>
              </w:rPr>
            </w:pPr>
            <w:r w:rsidRPr="00AD79D2">
              <w:rPr>
                <w:b/>
                <w:sz w:val="22"/>
                <w:szCs w:val="22"/>
              </w:rPr>
              <w:t>23,0</w:t>
            </w:r>
          </w:p>
        </w:tc>
        <w:tc>
          <w:tcPr>
            <w:tcW w:w="1320" w:type="dxa"/>
            <w:vAlign w:val="center"/>
          </w:tcPr>
          <w:p w:rsidR="00CF1EA1" w:rsidRPr="00AD79D2" w:rsidRDefault="00CF1EA1" w:rsidP="000F77AE">
            <w:pPr>
              <w:spacing w:line="360" w:lineRule="auto"/>
              <w:jc w:val="center"/>
              <w:cnfStyle w:val="000000100000"/>
              <w:rPr>
                <w:b/>
                <w:sz w:val="22"/>
                <w:szCs w:val="22"/>
              </w:rPr>
            </w:pPr>
            <w:r w:rsidRPr="00AD79D2">
              <w:rPr>
                <w:b/>
                <w:sz w:val="22"/>
                <w:szCs w:val="22"/>
              </w:rPr>
              <w:t>23,7</w:t>
            </w:r>
          </w:p>
        </w:tc>
        <w:tc>
          <w:tcPr>
            <w:cnfStyle w:val="000100000000"/>
            <w:tcW w:w="1320" w:type="dxa"/>
            <w:vAlign w:val="center"/>
          </w:tcPr>
          <w:p w:rsidR="00CF1EA1" w:rsidRPr="00AD79D2" w:rsidRDefault="00CF1EA1" w:rsidP="000F77AE">
            <w:pPr>
              <w:spacing w:line="360" w:lineRule="auto"/>
              <w:jc w:val="center"/>
              <w:rPr>
                <w:b w:val="0"/>
                <w:sz w:val="22"/>
                <w:szCs w:val="22"/>
              </w:rPr>
            </w:pPr>
            <w:r w:rsidRPr="00AD79D2">
              <w:rPr>
                <w:b w:val="0"/>
                <w:sz w:val="22"/>
                <w:szCs w:val="22"/>
              </w:rPr>
              <w:t>27,2</w:t>
            </w:r>
          </w:p>
        </w:tc>
      </w:tr>
      <w:tr w:rsidR="00CF1EA1" w:rsidRPr="00AD79D2" w:rsidTr="00CF1EA1">
        <w:trPr>
          <w:cnfStyle w:val="000000010000"/>
        </w:trPr>
        <w:tc>
          <w:tcPr>
            <w:cnfStyle w:val="001000000000"/>
            <w:tcW w:w="2520" w:type="dxa"/>
            <w:shd w:val="clear" w:color="auto" w:fill="auto"/>
          </w:tcPr>
          <w:p w:rsidR="00CF1EA1" w:rsidRPr="00AD79D2" w:rsidRDefault="00CF1EA1" w:rsidP="00D77A6B">
            <w:pPr>
              <w:rPr>
                <w:b w:val="0"/>
                <w:sz w:val="22"/>
                <w:szCs w:val="22"/>
              </w:rPr>
            </w:pPr>
            <w:r w:rsidRPr="00AD79D2">
              <w:rPr>
                <w:sz w:val="22"/>
                <w:szCs w:val="22"/>
              </w:rPr>
              <w:t>Объем экспорта (млрд. долл.)</w:t>
            </w:r>
          </w:p>
        </w:tc>
        <w:tc>
          <w:tcPr>
            <w:cnfStyle w:val="000010000000"/>
            <w:tcW w:w="1320" w:type="dxa"/>
            <w:shd w:val="clear" w:color="auto" w:fill="auto"/>
            <w:vAlign w:val="center"/>
          </w:tcPr>
          <w:p w:rsidR="00CF1EA1" w:rsidRPr="00AD79D2" w:rsidRDefault="00CF1EA1" w:rsidP="00372FBC">
            <w:pPr>
              <w:spacing w:line="360" w:lineRule="auto"/>
              <w:jc w:val="center"/>
              <w:rPr>
                <w:sz w:val="22"/>
                <w:szCs w:val="22"/>
              </w:rPr>
            </w:pPr>
            <w:r w:rsidRPr="00AD79D2">
              <w:rPr>
                <w:sz w:val="22"/>
                <w:szCs w:val="22"/>
              </w:rPr>
              <w:t>31,0</w:t>
            </w:r>
          </w:p>
        </w:tc>
        <w:tc>
          <w:tcPr>
            <w:tcW w:w="1320" w:type="dxa"/>
            <w:shd w:val="clear" w:color="auto" w:fill="auto"/>
            <w:vAlign w:val="center"/>
          </w:tcPr>
          <w:p w:rsidR="00CF1EA1" w:rsidRPr="00AD79D2" w:rsidRDefault="00CF1EA1" w:rsidP="00372FBC">
            <w:pPr>
              <w:spacing w:line="360" w:lineRule="auto"/>
              <w:jc w:val="center"/>
              <w:cnfStyle w:val="000000010000"/>
              <w:rPr>
                <w:sz w:val="22"/>
                <w:szCs w:val="22"/>
              </w:rPr>
            </w:pPr>
            <w:r w:rsidRPr="00AD79D2">
              <w:rPr>
                <w:sz w:val="22"/>
                <w:szCs w:val="22"/>
              </w:rPr>
              <w:t>52,8</w:t>
            </w:r>
          </w:p>
        </w:tc>
        <w:tc>
          <w:tcPr>
            <w:cnfStyle w:val="000010000000"/>
            <w:tcW w:w="1320" w:type="dxa"/>
            <w:shd w:val="clear" w:color="auto" w:fill="auto"/>
            <w:vAlign w:val="center"/>
          </w:tcPr>
          <w:p w:rsidR="00CF1EA1" w:rsidRPr="00AD79D2" w:rsidRDefault="00CF1EA1" w:rsidP="00372FBC">
            <w:pPr>
              <w:spacing w:line="360" w:lineRule="auto"/>
              <w:jc w:val="center"/>
              <w:rPr>
                <w:sz w:val="22"/>
                <w:szCs w:val="22"/>
              </w:rPr>
            </w:pPr>
            <w:r w:rsidRPr="00AD79D2">
              <w:rPr>
                <w:sz w:val="22"/>
                <w:szCs w:val="22"/>
              </w:rPr>
              <w:t>52,1</w:t>
            </w:r>
          </w:p>
        </w:tc>
        <w:tc>
          <w:tcPr>
            <w:tcW w:w="1320" w:type="dxa"/>
            <w:shd w:val="clear" w:color="auto" w:fill="auto"/>
            <w:vAlign w:val="center"/>
          </w:tcPr>
          <w:p w:rsidR="00CF1EA1" w:rsidRPr="00AD79D2" w:rsidRDefault="00CF1EA1" w:rsidP="00372FBC">
            <w:pPr>
              <w:spacing w:line="360" w:lineRule="auto"/>
              <w:jc w:val="center"/>
              <w:cnfStyle w:val="000000010000"/>
              <w:rPr>
                <w:sz w:val="22"/>
                <w:szCs w:val="22"/>
              </w:rPr>
            </w:pPr>
            <w:r w:rsidRPr="00AD79D2">
              <w:rPr>
                <w:sz w:val="22"/>
                <w:szCs w:val="22"/>
              </w:rPr>
              <w:t>56,3</w:t>
            </w:r>
          </w:p>
        </w:tc>
        <w:tc>
          <w:tcPr>
            <w:cnfStyle w:val="000100000000"/>
            <w:tcW w:w="1320" w:type="dxa"/>
            <w:shd w:val="clear" w:color="auto" w:fill="auto"/>
            <w:vAlign w:val="center"/>
          </w:tcPr>
          <w:p w:rsidR="00CF1EA1" w:rsidRPr="00AD79D2" w:rsidRDefault="00CF1EA1" w:rsidP="00372FBC">
            <w:pPr>
              <w:spacing w:line="360" w:lineRule="auto"/>
              <w:jc w:val="center"/>
              <w:rPr>
                <w:b w:val="0"/>
                <w:sz w:val="22"/>
                <w:szCs w:val="22"/>
              </w:rPr>
            </w:pPr>
            <w:r w:rsidRPr="00AD79D2">
              <w:rPr>
                <w:b w:val="0"/>
                <w:sz w:val="22"/>
                <w:szCs w:val="22"/>
              </w:rPr>
              <w:t>74,0</w:t>
            </w:r>
          </w:p>
        </w:tc>
      </w:tr>
      <w:tr w:rsidR="00CF1EA1" w:rsidRPr="00AD79D2" w:rsidTr="00CF1EA1">
        <w:trPr>
          <w:cnfStyle w:val="000000100000"/>
        </w:trPr>
        <w:tc>
          <w:tcPr>
            <w:cnfStyle w:val="001000000000"/>
            <w:tcW w:w="2520" w:type="dxa"/>
            <w:tcBorders>
              <w:bottom w:val="single" w:sz="4" w:space="0" w:color="95B3D7" w:themeColor="accent1" w:themeTint="99"/>
            </w:tcBorders>
            <w:shd w:val="clear" w:color="auto" w:fill="DBE5F1" w:themeFill="accent1" w:themeFillTint="33"/>
          </w:tcPr>
          <w:p w:rsidR="00CF1EA1" w:rsidRPr="00AD79D2" w:rsidRDefault="00CF1EA1" w:rsidP="00D77A6B">
            <w:pPr>
              <w:rPr>
                <w:b w:val="0"/>
                <w:sz w:val="22"/>
                <w:szCs w:val="22"/>
              </w:rPr>
            </w:pPr>
            <w:r w:rsidRPr="00AD79D2">
              <w:rPr>
                <w:sz w:val="22"/>
                <w:szCs w:val="22"/>
              </w:rPr>
              <w:t>Доля в общем экспорте товаров и услуг</w:t>
            </w:r>
          </w:p>
        </w:tc>
        <w:tc>
          <w:tcPr>
            <w:cnfStyle w:val="000010000000"/>
            <w:tcW w:w="1320" w:type="dxa"/>
            <w:tcBorders>
              <w:bottom w:val="single" w:sz="4" w:space="0" w:color="95B3D7" w:themeColor="accent1" w:themeTint="99"/>
            </w:tcBorders>
            <w:shd w:val="clear" w:color="auto" w:fill="DBE5F1" w:themeFill="accent1" w:themeFillTint="33"/>
            <w:vAlign w:val="center"/>
          </w:tcPr>
          <w:p w:rsidR="00CF1EA1" w:rsidRPr="00AD79D2" w:rsidRDefault="00CF1EA1" w:rsidP="00372FBC">
            <w:pPr>
              <w:spacing w:line="360" w:lineRule="auto"/>
              <w:jc w:val="center"/>
              <w:rPr>
                <w:sz w:val="22"/>
                <w:szCs w:val="22"/>
              </w:rPr>
            </w:pPr>
            <w:r w:rsidRPr="00AD79D2">
              <w:rPr>
                <w:sz w:val="22"/>
                <w:szCs w:val="22"/>
              </w:rPr>
              <w:t>36,6%</w:t>
            </w:r>
          </w:p>
        </w:tc>
        <w:tc>
          <w:tcPr>
            <w:tcW w:w="1320" w:type="dxa"/>
            <w:tcBorders>
              <w:bottom w:val="single" w:sz="4" w:space="0" w:color="95B3D7" w:themeColor="accent1" w:themeTint="99"/>
            </w:tcBorders>
            <w:shd w:val="clear" w:color="auto" w:fill="DBE5F1" w:themeFill="accent1" w:themeFillTint="33"/>
            <w:vAlign w:val="center"/>
          </w:tcPr>
          <w:p w:rsidR="00CF1EA1" w:rsidRPr="00AD79D2" w:rsidRDefault="00CF1EA1" w:rsidP="00372FBC">
            <w:pPr>
              <w:spacing w:line="360" w:lineRule="auto"/>
              <w:jc w:val="center"/>
              <w:cnfStyle w:val="000000100000"/>
              <w:rPr>
                <w:sz w:val="22"/>
                <w:szCs w:val="22"/>
              </w:rPr>
            </w:pPr>
            <w:r w:rsidRPr="00AD79D2">
              <w:rPr>
                <w:sz w:val="22"/>
                <w:szCs w:val="22"/>
              </w:rPr>
              <w:t>46,1%</w:t>
            </w:r>
          </w:p>
        </w:tc>
        <w:tc>
          <w:tcPr>
            <w:cnfStyle w:val="000010000000"/>
            <w:tcW w:w="1320" w:type="dxa"/>
            <w:tcBorders>
              <w:bottom w:val="single" w:sz="4" w:space="0" w:color="95B3D7" w:themeColor="accent1" w:themeTint="99"/>
            </w:tcBorders>
            <w:shd w:val="clear" w:color="auto" w:fill="DBE5F1" w:themeFill="accent1" w:themeFillTint="33"/>
            <w:vAlign w:val="center"/>
          </w:tcPr>
          <w:p w:rsidR="00CF1EA1" w:rsidRPr="00AD79D2" w:rsidRDefault="00CF1EA1" w:rsidP="00372FBC">
            <w:pPr>
              <w:spacing w:line="360" w:lineRule="auto"/>
              <w:jc w:val="center"/>
              <w:rPr>
                <w:sz w:val="22"/>
                <w:szCs w:val="22"/>
              </w:rPr>
            </w:pPr>
            <w:r w:rsidRPr="00AD79D2">
              <w:rPr>
                <w:sz w:val="22"/>
                <w:szCs w:val="22"/>
              </w:rPr>
              <w:t>46,0%</w:t>
            </w:r>
          </w:p>
        </w:tc>
        <w:tc>
          <w:tcPr>
            <w:tcW w:w="1320" w:type="dxa"/>
            <w:tcBorders>
              <w:bottom w:val="single" w:sz="4" w:space="0" w:color="95B3D7" w:themeColor="accent1" w:themeTint="99"/>
            </w:tcBorders>
            <w:shd w:val="clear" w:color="auto" w:fill="DBE5F1" w:themeFill="accent1" w:themeFillTint="33"/>
            <w:vAlign w:val="center"/>
          </w:tcPr>
          <w:p w:rsidR="00CF1EA1" w:rsidRPr="00AD79D2" w:rsidRDefault="00CF1EA1" w:rsidP="00372FBC">
            <w:pPr>
              <w:spacing w:line="360" w:lineRule="auto"/>
              <w:jc w:val="center"/>
              <w:cnfStyle w:val="000000100000"/>
              <w:rPr>
                <w:sz w:val="22"/>
                <w:szCs w:val="22"/>
              </w:rPr>
            </w:pPr>
            <w:r w:rsidRPr="00AD79D2">
              <w:rPr>
                <w:sz w:val="22"/>
                <w:szCs w:val="22"/>
              </w:rPr>
              <w:t>46,4%</w:t>
            </w:r>
          </w:p>
        </w:tc>
        <w:tc>
          <w:tcPr>
            <w:cnfStyle w:val="000100000000"/>
            <w:tcW w:w="1320" w:type="dxa"/>
            <w:tcBorders>
              <w:bottom w:val="single" w:sz="4" w:space="0" w:color="95B3D7" w:themeColor="accent1" w:themeTint="99"/>
            </w:tcBorders>
            <w:shd w:val="clear" w:color="auto" w:fill="DBE5F1" w:themeFill="accent1" w:themeFillTint="33"/>
            <w:vAlign w:val="center"/>
          </w:tcPr>
          <w:p w:rsidR="00CF1EA1" w:rsidRPr="00AD79D2" w:rsidRDefault="00CF1EA1" w:rsidP="00372FBC">
            <w:pPr>
              <w:spacing w:line="360" w:lineRule="auto"/>
              <w:jc w:val="center"/>
              <w:rPr>
                <w:b w:val="0"/>
                <w:sz w:val="22"/>
                <w:szCs w:val="22"/>
              </w:rPr>
            </w:pPr>
            <w:r w:rsidRPr="00AD79D2">
              <w:rPr>
                <w:b w:val="0"/>
                <w:sz w:val="22"/>
                <w:szCs w:val="22"/>
              </w:rPr>
              <w:t>49,2%</w:t>
            </w:r>
          </w:p>
        </w:tc>
      </w:tr>
      <w:tr w:rsidR="00CF1EA1" w:rsidRPr="00AD79D2" w:rsidTr="00CF1EA1">
        <w:trPr>
          <w:cnfStyle w:val="000000010000"/>
        </w:trPr>
        <w:tc>
          <w:tcPr>
            <w:cnfStyle w:val="001000000000"/>
            <w:tcW w:w="2520" w:type="dxa"/>
            <w:tcBorders>
              <w:top w:val="single" w:sz="4" w:space="0" w:color="95B3D7" w:themeColor="accent1" w:themeTint="99"/>
              <w:bottom w:val="single" w:sz="4" w:space="0" w:color="95B3D7" w:themeColor="accent1" w:themeTint="99"/>
            </w:tcBorders>
            <w:shd w:val="clear" w:color="auto" w:fill="auto"/>
          </w:tcPr>
          <w:p w:rsidR="00CF1EA1" w:rsidRPr="00AD79D2" w:rsidRDefault="00CF1EA1" w:rsidP="00D77A6B">
            <w:pPr>
              <w:rPr>
                <w:b w:val="0"/>
                <w:sz w:val="22"/>
                <w:szCs w:val="22"/>
              </w:rPr>
            </w:pPr>
          </w:p>
        </w:tc>
        <w:tc>
          <w:tcPr>
            <w:cnfStyle w:val="000010000000"/>
            <w:tcW w:w="1320" w:type="dxa"/>
            <w:tcBorders>
              <w:top w:val="single" w:sz="4" w:space="0" w:color="95B3D7" w:themeColor="accent1" w:themeTint="99"/>
              <w:bottom w:val="single" w:sz="4" w:space="0" w:color="95B3D7" w:themeColor="accent1" w:themeTint="99"/>
            </w:tcBorders>
            <w:shd w:val="clear" w:color="auto" w:fill="auto"/>
            <w:vAlign w:val="center"/>
          </w:tcPr>
          <w:p w:rsidR="00CF1EA1" w:rsidRPr="00AD79D2" w:rsidRDefault="00CF1EA1" w:rsidP="00372FBC">
            <w:pPr>
              <w:spacing w:line="360" w:lineRule="auto"/>
              <w:jc w:val="center"/>
              <w:rPr>
                <w:b/>
                <w:sz w:val="22"/>
                <w:szCs w:val="22"/>
              </w:rPr>
            </w:pPr>
          </w:p>
        </w:tc>
        <w:tc>
          <w:tcPr>
            <w:tcW w:w="1320" w:type="dxa"/>
            <w:tcBorders>
              <w:top w:val="single" w:sz="4" w:space="0" w:color="95B3D7" w:themeColor="accent1" w:themeTint="99"/>
              <w:bottom w:val="single" w:sz="4" w:space="0" w:color="95B3D7" w:themeColor="accent1" w:themeTint="99"/>
            </w:tcBorders>
            <w:shd w:val="clear" w:color="auto" w:fill="auto"/>
            <w:vAlign w:val="center"/>
          </w:tcPr>
          <w:p w:rsidR="00CF1EA1" w:rsidRPr="00AD79D2" w:rsidRDefault="00CF1EA1" w:rsidP="00372FBC">
            <w:pPr>
              <w:spacing w:line="360" w:lineRule="auto"/>
              <w:jc w:val="center"/>
              <w:cnfStyle w:val="000000010000"/>
              <w:rPr>
                <w:b/>
                <w:sz w:val="22"/>
                <w:szCs w:val="22"/>
              </w:rPr>
            </w:pPr>
          </w:p>
        </w:tc>
        <w:tc>
          <w:tcPr>
            <w:cnfStyle w:val="000010000000"/>
            <w:tcW w:w="1320" w:type="dxa"/>
            <w:tcBorders>
              <w:top w:val="single" w:sz="4" w:space="0" w:color="95B3D7" w:themeColor="accent1" w:themeTint="99"/>
              <w:bottom w:val="single" w:sz="4" w:space="0" w:color="95B3D7" w:themeColor="accent1" w:themeTint="99"/>
            </w:tcBorders>
            <w:shd w:val="clear" w:color="auto" w:fill="auto"/>
            <w:vAlign w:val="center"/>
          </w:tcPr>
          <w:p w:rsidR="00CF1EA1" w:rsidRPr="00AD79D2" w:rsidRDefault="00CF1EA1" w:rsidP="00372FBC">
            <w:pPr>
              <w:spacing w:line="360" w:lineRule="auto"/>
              <w:jc w:val="center"/>
              <w:rPr>
                <w:b/>
                <w:sz w:val="22"/>
                <w:szCs w:val="22"/>
              </w:rPr>
            </w:pPr>
          </w:p>
        </w:tc>
        <w:tc>
          <w:tcPr>
            <w:tcW w:w="1320" w:type="dxa"/>
            <w:tcBorders>
              <w:top w:val="single" w:sz="4" w:space="0" w:color="95B3D7" w:themeColor="accent1" w:themeTint="99"/>
              <w:bottom w:val="single" w:sz="4" w:space="0" w:color="95B3D7" w:themeColor="accent1" w:themeTint="99"/>
            </w:tcBorders>
            <w:shd w:val="clear" w:color="auto" w:fill="auto"/>
            <w:vAlign w:val="center"/>
          </w:tcPr>
          <w:p w:rsidR="00CF1EA1" w:rsidRPr="00AD79D2" w:rsidRDefault="00CF1EA1" w:rsidP="00372FBC">
            <w:pPr>
              <w:spacing w:line="360" w:lineRule="auto"/>
              <w:jc w:val="center"/>
              <w:cnfStyle w:val="000000010000"/>
              <w:rPr>
                <w:b/>
                <w:sz w:val="22"/>
                <w:szCs w:val="22"/>
              </w:rPr>
            </w:pPr>
          </w:p>
        </w:tc>
        <w:tc>
          <w:tcPr>
            <w:cnfStyle w:val="000100000000"/>
            <w:tcW w:w="1320" w:type="dxa"/>
            <w:tcBorders>
              <w:top w:val="single" w:sz="4" w:space="0" w:color="95B3D7" w:themeColor="accent1" w:themeTint="99"/>
              <w:bottom w:val="single" w:sz="4" w:space="0" w:color="95B3D7" w:themeColor="accent1" w:themeTint="99"/>
            </w:tcBorders>
            <w:shd w:val="clear" w:color="auto" w:fill="auto"/>
            <w:vAlign w:val="center"/>
          </w:tcPr>
          <w:p w:rsidR="00CF1EA1" w:rsidRPr="00AD79D2" w:rsidRDefault="00CF1EA1" w:rsidP="00372FBC">
            <w:pPr>
              <w:spacing w:line="360" w:lineRule="auto"/>
              <w:jc w:val="center"/>
              <w:rPr>
                <w:b w:val="0"/>
                <w:sz w:val="22"/>
                <w:szCs w:val="22"/>
              </w:rPr>
            </w:pPr>
          </w:p>
        </w:tc>
      </w:tr>
      <w:tr w:rsidR="00CF1EA1" w:rsidRPr="00AD79D2" w:rsidTr="00372FBC">
        <w:trPr>
          <w:cnfStyle w:val="010000000000"/>
        </w:trPr>
        <w:tc>
          <w:tcPr>
            <w:cnfStyle w:val="001000000000"/>
            <w:tcW w:w="2520" w:type="dxa"/>
            <w:tcBorders>
              <w:top w:val="single" w:sz="4" w:space="0" w:color="95B3D7" w:themeColor="accent1" w:themeTint="99"/>
            </w:tcBorders>
            <w:shd w:val="clear" w:color="auto" w:fill="DBE5F1" w:themeFill="accent1" w:themeFillTint="33"/>
          </w:tcPr>
          <w:p w:rsidR="00CF1EA1" w:rsidRPr="00AD79D2" w:rsidRDefault="00CF1EA1" w:rsidP="00D77A6B">
            <w:pPr>
              <w:rPr>
                <w:sz w:val="22"/>
                <w:szCs w:val="22"/>
              </w:rPr>
            </w:pPr>
            <w:r w:rsidRPr="00AD79D2">
              <w:rPr>
                <w:sz w:val="22"/>
                <w:szCs w:val="22"/>
              </w:rPr>
              <w:t xml:space="preserve">Доля нефтегазового сектора в доходах бюджета </w:t>
            </w:r>
          </w:p>
        </w:tc>
        <w:tc>
          <w:tcPr>
            <w:cnfStyle w:val="000010000000"/>
            <w:tcW w:w="1320" w:type="dxa"/>
            <w:tcBorders>
              <w:top w:val="single" w:sz="4" w:space="0" w:color="95B3D7" w:themeColor="accent1" w:themeTint="99"/>
            </w:tcBorders>
            <w:shd w:val="clear" w:color="auto" w:fill="DBE5F1" w:themeFill="accent1" w:themeFillTint="33"/>
            <w:vAlign w:val="center"/>
          </w:tcPr>
          <w:p w:rsidR="00CF1EA1" w:rsidRPr="00AD79D2" w:rsidRDefault="00CF1EA1" w:rsidP="00C95D2D">
            <w:pPr>
              <w:spacing w:line="360" w:lineRule="auto"/>
              <w:jc w:val="center"/>
              <w:rPr>
                <w:b w:val="0"/>
                <w:sz w:val="22"/>
                <w:szCs w:val="22"/>
              </w:rPr>
            </w:pPr>
            <w:r w:rsidRPr="00AD79D2">
              <w:rPr>
                <w:b w:val="0"/>
                <w:sz w:val="22"/>
                <w:szCs w:val="22"/>
              </w:rPr>
              <w:t>21</w:t>
            </w:r>
            <w:r w:rsidR="00C95D2D" w:rsidRPr="00AD79D2">
              <w:rPr>
                <w:b w:val="0"/>
                <w:sz w:val="22"/>
                <w:szCs w:val="22"/>
              </w:rPr>
              <w:t>,0%</w:t>
            </w:r>
          </w:p>
        </w:tc>
        <w:tc>
          <w:tcPr>
            <w:tcW w:w="1320" w:type="dxa"/>
            <w:tcBorders>
              <w:top w:val="single" w:sz="4" w:space="0" w:color="95B3D7" w:themeColor="accent1" w:themeTint="99"/>
            </w:tcBorders>
            <w:shd w:val="clear" w:color="auto" w:fill="DBE5F1" w:themeFill="accent1" w:themeFillTint="33"/>
            <w:vAlign w:val="center"/>
          </w:tcPr>
          <w:p w:rsidR="00CF1EA1" w:rsidRPr="00AD79D2" w:rsidRDefault="00CF1EA1" w:rsidP="00C95D2D">
            <w:pPr>
              <w:spacing w:line="360" w:lineRule="auto"/>
              <w:jc w:val="center"/>
              <w:cnfStyle w:val="010000000000"/>
              <w:rPr>
                <w:b w:val="0"/>
                <w:sz w:val="22"/>
                <w:szCs w:val="22"/>
              </w:rPr>
            </w:pPr>
            <w:r w:rsidRPr="00AD79D2">
              <w:rPr>
                <w:b w:val="0"/>
                <w:sz w:val="22"/>
                <w:szCs w:val="22"/>
              </w:rPr>
              <w:t>29</w:t>
            </w:r>
            <w:r w:rsidR="00C95D2D" w:rsidRPr="00AD79D2">
              <w:rPr>
                <w:b w:val="0"/>
                <w:sz w:val="22"/>
                <w:szCs w:val="22"/>
              </w:rPr>
              <w:t>,0%</w:t>
            </w:r>
          </w:p>
        </w:tc>
        <w:tc>
          <w:tcPr>
            <w:cnfStyle w:val="000010000000"/>
            <w:tcW w:w="1320" w:type="dxa"/>
            <w:tcBorders>
              <w:top w:val="single" w:sz="4" w:space="0" w:color="95B3D7" w:themeColor="accent1" w:themeTint="99"/>
            </w:tcBorders>
            <w:shd w:val="clear" w:color="auto" w:fill="DBE5F1" w:themeFill="accent1" w:themeFillTint="33"/>
            <w:vAlign w:val="center"/>
          </w:tcPr>
          <w:p w:rsidR="00CF1EA1" w:rsidRPr="00AD79D2" w:rsidRDefault="00C95D2D" w:rsidP="00372FBC">
            <w:pPr>
              <w:spacing w:line="360" w:lineRule="auto"/>
              <w:jc w:val="center"/>
              <w:rPr>
                <w:b w:val="0"/>
                <w:sz w:val="22"/>
                <w:szCs w:val="22"/>
              </w:rPr>
            </w:pPr>
            <w:r w:rsidRPr="00AD79D2">
              <w:rPr>
                <w:b w:val="0"/>
                <w:sz w:val="22"/>
                <w:szCs w:val="22"/>
              </w:rPr>
              <w:t>29,5%</w:t>
            </w:r>
          </w:p>
        </w:tc>
        <w:tc>
          <w:tcPr>
            <w:tcW w:w="1320" w:type="dxa"/>
            <w:tcBorders>
              <w:top w:val="single" w:sz="4" w:space="0" w:color="95B3D7" w:themeColor="accent1" w:themeTint="99"/>
            </w:tcBorders>
            <w:shd w:val="clear" w:color="auto" w:fill="DBE5F1" w:themeFill="accent1" w:themeFillTint="33"/>
            <w:vAlign w:val="center"/>
          </w:tcPr>
          <w:p w:rsidR="00CF1EA1" w:rsidRPr="00AD79D2" w:rsidRDefault="00CF1EA1" w:rsidP="00C95D2D">
            <w:pPr>
              <w:spacing w:line="360" w:lineRule="auto"/>
              <w:jc w:val="center"/>
              <w:cnfStyle w:val="010000000000"/>
              <w:rPr>
                <w:b w:val="0"/>
                <w:sz w:val="22"/>
                <w:szCs w:val="22"/>
              </w:rPr>
            </w:pPr>
            <w:r w:rsidRPr="00AD79D2">
              <w:rPr>
                <w:b w:val="0"/>
                <w:sz w:val="22"/>
                <w:szCs w:val="22"/>
              </w:rPr>
              <w:t>2</w:t>
            </w:r>
            <w:r w:rsidR="00C95D2D" w:rsidRPr="00AD79D2">
              <w:rPr>
                <w:b w:val="0"/>
                <w:sz w:val="22"/>
                <w:szCs w:val="22"/>
              </w:rPr>
              <w:t>6,5%</w:t>
            </w:r>
          </w:p>
        </w:tc>
        <w:tc>
          <w:tcPr>
            <w:cnfStyle w:val="000100000000"/>
            <w:tcW w:w="1320" w:type="dxa"/>
            <w:tcBorders>
              <w:top w:val="single" w:sz="4" w:space="0" w:color="95B3D7" w:themeColor="accent1" w:themeTint="99"/>
            </w:tcBorders>
            <w:shd w:val="clear" w:color="auto" w:fill="DBE5F1" w:themeFill="accent1" w:themeFillTint="33"/>
            <w:vAlign w:val="center"/>
          </w:tcPr>
          <w:p w:rsidR="00CF1EA1" w:rsidRPr="00AD79D2" w:rsidRDefault="00CF1EA1" w:rsidP="00C95D2D">
            <w:pPr>
              <w:spacing w:line="360" w:lineRule="auto"/>
              <w:jc w:val="center"/>
              <w:rPr>
                <w:b w:val="0"/>
                <w:sz w:val="22"/>
                <w:szCs w:val="22"/>
              </w:rPr>
            </w:pPr>
            <w:r w:rsidRPr="00AD79D2">
              <w:rPr>
                <w:b w:val="0"/>
                <w:sz w:val="22"/>
                <w:szCs w:val="22"/>
              </w:rPr>
              <w:t>2</w:t>
            </w:r>
            <w:r w:rsidR="00C95D2D" w:rsidRPr="00AD79D2">
              <w:rPr>
                <w:b w:val="0"/>
                <w:sz w:val="22"/>
                <w:szCs w:val="22"/>
              </w:rPr>
              <w:t>8,0%</w:t>
            </w:r>
          </w:p>
        </w:tc>
      </w:tr>
    </w:tbl>
    <w:p w:rsidR="00E74274" w:rsidRPr="00707363" w:rsidRDefault="00E74274" w:rsidP="00D77A6B">
      <w:pPr>
        <w:autoSpaceDE w:val="0"/>
        <w:autoSpaceDN w:val="0"/>
        <w:adjustRightInd w:val="0"/>
        <w:spacing w:after="0"/>
        <w:rPr>
          <w:rStyle w:val="af8"/>
        </w:rPr>
      </w:pPr>
      <w:r w:rsidRPr="00707363">
        <w:rPr>
          <w:rStyle w:val="af8"/>
        </w:rPr>
        <w:t xml:space="preserve">Источник: Гурвич Е.Т. Макроэкономическая оценка роли российского нефтегазового сектора; </w:t>
      </w:r>
      <w:r w:rsidR="00332984" w:rsidRPr="00707363">
        <w:rPr>
          <w:rStyle w:val="af8"/>
        </w:rPr>
        <w:t>International</w:t>
      </w:r>
      <w:r w:rsidR="00EA703E">
        <w:rPr>
          <w:rStyle w:val="af8"/>
        </w:rPr>
        <w:t xml:space="preserve"> </w:t>
      </w:r>
      <w:r w:rsidR="00CF1EA1" w:rsidRPr="00707363">
        <w:rPr>
          <w:rStyle w:val="af8"/>
        </w:rPr>
        <w:t>Energy</w:t>
      </w:r>
      <w:r w:rsidR="00EA703E">
        <w:rPr>
          <w:rStyle w:val="af8"/>
        </w:rPr>
        <w:t xml:space="preserve"> </w:t>
      </w:r>
      <w:r w:rsidR="00CF1EA1" w:rsidRPr="00707363">
        <w:rPr>
          <w:rStyle w:val="af8"/>
        </w:rPr>
        <w:t>Outlook</w:t>
      </w:r>
      <w:r w:rsidR="00332984" w:rsidRPr="00707363">
        <w:rPr>
          <w:rStyle w:val="af8"/>
        </w:rPr>
        <w:t xml:space="preserve"> 2005</w:t>
      </w:r>
      <w:r w:rsidR="00C95D2D" w:rsidRPr="00707363">
        <w:rPr>
          <w:rStyle w:val="af8"/>
        </w:rPr>
        <w:t>, Данные Федеральных законов об исполнении федеральных бюджетов за 1999-2003гг.</w:t>
      </w:r>
    </w:p>
    <w:p w:rsidR="00E74274" w:rsidRPr="00985D29" w:rsidRDefault="00E74274" w:rsidP="00400D5A">
      <w:pPr>
        <w:spacing w:after="0" w:line="360" w:lineRule="auto"/>
        <w:ind w:right="480" w:firstLine="1080"/>
        <w:jc w:val="center"/>
        <w:rPr>
          <w:i/>
          <w:sz w:val="26"/>
          <w:szCs w:val="26"/>
        </w:rPr>
      </w:pPr>
    </w:p>
    <w:p w:rsidR="00372FBC" w:rsidRPr="00985D29" w:rsidRDefault="00E74274" w:rsidP="00372FBC">
      <w:pPr>
        <w:spacing w:after="0" w:line="360" w:lineRule="auto"/>
        <w:jc w:val="center"/>
        <w:rPr>
          <w:i/>
          <w:sz w:val="26"/>
          <w:szCs w:val="26"/>
          <w:lang w:val="en-US"/>
        </w:rPr>
      </w:pPr>
      <w:r w:rsidRPr="00985D29">
        <w:rPr>
          <w:noProof/>
          <w:sz w:val="26"/>
          <w:szCs w:val="26"/>
          <w:lang w:eastAsia="ru-RU"/>
        </w:rPr>
        <w:lastRenderedPageBreak/>
        <w:drawing>
          <wp:inline distT="0" distB="0" distL="0" distR="0">
            <wp:extent cx="4648200" cy="23431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2FBC" w:rsidRPr="00707363" w:rsidRDefault="002F13D4" w:rsidP="00384B96">
      <w:pPr>
        <w:spacing w:after="0" w:line="240" w:lineRule="auto"/>
        <w:jc w:val="both"/>
        <w:rPr>
          <w:rStyle w:val="af8"/>
        </w:rPr>
      </w:pPr>
      <w:r w:rsidRPr="00707363">
        <w:rPr>
          <w:rStyle w:val="af8"/>
        </w:rPr>
        <w:t>Источник: Минфин России</w:t>
      </w:r>
      <w:r w:rsidR="00C95D2D" w:rsidRPr="00707363">
        <w:rPr>
          <w:rStyle w:val="af8"/>
        </w:rPr>
        <w:t>, данные Федеральных законов об исполнении федеральных бюджетов за 1999-2003гг</w:t>
      </w:r>
    </w:p>
    <w:p w:rsidR="00384B96" w:rsidRPr="003E504A" w:rsidRDefault="00400D5A" w:rsidP="00E42F04">
      <w:pPr>
        <w:spacing w:after="0" w:line="240" w:lineRule="auto"/>
        <w:jc w:val="center"/>
        <w:rPr>
          <w:sz w:val="28"/>
          <w:szCs w:val="28"/>
        </w:rPr>
      </w:pPr>
      <w:r w:rsidRPr="003E504A">
        <w:rPr>
          <w:sz w:val="28"/>
          <w:szCs w:val="28"/>
        </w:rPr>
        <w:t>Рис. 1</w:t>
      </w:r>
    </w:p>
    <w:p w:rsidR="006F579C" w:rsidRDefault="006F579C" w:rsidP="002F13D4">
      <w:pPr>
        <w:spacing w:after="0" w:line="360" w:lineRule="auto"/>
        <w:ind w:firstLine="851"/>
        <w:jc w:val="both"/>
        <w:rPr>
          <w:sz w:val="26"/>
          <w:szCs w:val="26"/>
        </w:rPr>
      </w:pPr>
    </w:p>
    <w:p w:rsidR="002F13D4" w:rsidRPr="006F579C" w:rsidRDefault="004438E4" w:rsidP="002F13D4">
      <w:pPr>
        <w:spacing w:after="0" w:line="360" w:lineRule="auto"/>
        <w:ind w:firstLine="851"/>
        <w:jc w:val="both"/>
        <w:rPr>
          <w:sz w:val="28"/>
          <w:szCs w:val="28"/>
        </w:rPr>
      </w:pPr>
      <w:r w:rsidRPr="006F579C">
        <w:rPr>
          <w:sz w:val="28"/>
          <w:szCs w:val="28"/>
        </w:rPr>
        <w:t>На основании приведенных данных можно сделать вывод, что нефтегазовый сектор занимает одну из ключевых ролей в экономике Российской Федерации, а значит, основные макроэкономические показатели</w:t>
      </w:r>
      <w:r w:rsidR="00E74274" w:rsidRPr="006F579C">
        <w:rPr>
          <w:sz w:val="28"/>
          <w:szCs w:val="28"/>
        </w:rPr>
        <w:t>, таки</w:t>
      </w:r>
      <w:r w:rsidRPr="006F579C">
        <w:rPr>
          <w:sz w:val="28"/>
          <w:szCs w:val="28"/>
        </w:rPr>
        <w:t>е</w:t>
      </w:r>
      <w:r w:rsidR="00E74274" w:rsidRPr="006F579C">
        <w:rPr>
          <w:sz w:val="28"/>
          <w:szCs w:val="28"/>
        </w:rPr>
        <w:t xml:space="preserve"> как темпы экономического роста, уровень инфляции и инвестиций, динамика валютного курса</w:t>
      </w:r>
      <w:r w:rsidRPr="006F579C">
        <w:rPr>
          <w:sz w:val="28"/>
          <w:szCs w:val="28"/>
        </w:rPr>
        <w:t xml:space="preserve"> будут сильно зависеть</w:t>
      </w:r>
      <w:r w:rsidR="00E74274" w:rsidRPr="006F579C">
        <w:rPr>
          <w:sz w:val="28"/>
          <w:szCs w:val="28"/>
        </w:rPr>
        <w:t xml:space="preserve"> от внешнеэкономической конъюнктуры. А учитывая высокую степень волатильности и непредсказуемости мировых цен на нефть, можно утверждать, что для России повышается возможность рисков нестабильности финансовой системы в случае шоков на мировых сырьевых рынках.</w:t>
      </w:r>
    </w:p>
    <w:p w:rsidR="002F13D4" w:rsidRPr="006F579C" w:rsidRDefault="00E74274" w:rsidP="0090650A">
      <w:pPr>
        <w:spacing w:after="0" w:line="360" w:lineRule="auto"/>
        <w:ind w:firstLine="851"/>
        <w:jc w:val="both"/>
        <w:rPr>
          <w:sz w:val="28"/>
          <w:szCs w:val="28"/>
        </w:rPr>
      </w:pPr>
      <w:r w:rsidRPr="006F579C">
        <w:rPr>
          <w:sz w:val="28"/>
          <w:szCs w:val="28"/>
        </w:rPr>
        <w:t>Именно для решения указанных проблем в России в 2002 году было предусмотрено формирование финансового резерва в составе федерального бюджета, а с 2004 года произошел переход к более сложному инструменту макроэкономической политики – созданию Стабилизационного фонда</w:t>
      </w:r>
      <w:r w:rsidR="00885DDA" w:rsidRPr="006F579C">
        <w:rPr>
          <w:sz w:val="28"/>
          <w:szCs w:val="28"/>
        </w:rPr>
        <w:t xml:space="preserve"> (Кудрин, 2006а</w:t>
      </w:r>
      <w:r w:rsidR="004438E4" w:rsidRPr="006F579C">
        <w:rPr>
          <w:sz w:val="28"/>
          <w:szCs w:val="28"/>
        </w:rPr>
        <w:t>; Петрикова, 2012</w:t>
      </w:r>
      <w:r w:rsidR="00885DDA" w:rsidRPr="006F579C">
        <w:rPr>
          <w:sz w:val="28"/>
          <w:szCs w:val="28"/>
        </w:rPr>
        <w:t>)</w:t>
      </w:r>
      <w:r w:rsidR="0090650A" w:rsidRPr="006F579C">
        <w:rPr>
          <w:sz w:val="28"/>
          <w:szCs w:val="28"/>
        </w:rPr>
        <w:t xml:space="preserve">, наряду с которым были введены бюджетные правила, предусматривавшие сбережение дополнительных нефтегазовых доходов в этом фонде в периоды высоких мировых цен на нефть и использование средств фонда </w:t>
      </w:r>
      <w:r w:rsidR="0090650A" w:rsidRPr="006F579C">
        <w:rPr>
          <w:sz w:val="28"/>
          <w:szCs w:val="28"/>
        </w:rPr>
        <w:lastRenderedPageBreak/>
        <w:t>для покрытия выпадающих доходов в периоды неблагоприятной внешнеэкономической конъюнктуры</w:t>
      </w:r>
      <w:r w:rsidRPr="006F579C">
        <w:rPr>
          <w:sz w:val="28"/>
          <w:szCs w:val="28"/>
        </w:rPr>
        <w:t>.</w:t>
      </w:r>
    </w:p>
    <w:p w:rsidR="002F13D4" w:rsidRPr="006F579C" w:rsidRDefault="00E74274" w:rsidP="002F13D4">
      <w:pPr>
        <w:spacing w:after="0" w:line="360" w:lineRule="auto"/>
        <w:ind w:firstLine="851"/>
        <w:jc w:val="both"/>
        <w:rPr>
          <w:sz w:val="28"/>
          <w:szCs w:val="28"/>
        </w:rPr>
      </w:pPr>
      <w:r w:rsidRPr="006F579C">
        <w:rPr>
          <w:sz w:val="28"/>
          <w:szCs w:val="28"/>
        </w:rPr>
        <w:t xml:space="preserve">Стабилизационный фонд Российской Федерации формировался за счет части доходов федерального бюджета от добычи и экспорта нефти – </w:t>
      </w:r>
      <w:r w:rsidR="00C95D2D" w:rsidRPr="006F579C">
        <w:rPr>
          <w:sz w:val="28"/>
          <w:szCs w:val="28"/>
        </w:rPr>
        <w:t>налогов на</w:t>
      </w:r>
      <w:r w:rsidR="00EA703E">
        <w:rPr>
          <w:sz w:val="28"/>
          <w:szCs w:val="28"/>
        </w:rPr>
        <w:t xml:space="preserve"> </w:t>
      </w:r>
      <w:r w:rsidR="00C95D2D" w:rsidRPr="006F579C">
        <w:rPr>
          <w:sz w:val="28"/>
          <w:szCs w:val="28"/>
        </w:rPr>
        <w:t>добычу полезных ископаемых (</w:t>
      </w:r>
      <w:r w:rsidRPr="006F579C">
        <w:rPr>
          <w:sz w:val="28"/>
          <w:szCs w:val="28"/>
        </w:rPr>
        <w:t>НДПИ</w:t>
      </w:r>
      <w:r w:rsidR="00C95D2D" w:rsidRPr="006F579C">
        <w:rPr>
          <w:sz w:val="28"/>
          <w:szCs w:val="28"/>
        </w:rPr>
        <w:t>)</w:t>
      </w:r>
      <w:r w:rsidRPr="006F579C">
        <w:rPr>
          <w:sz w:val="28"/>
          <w:szCs w:val="28"/>
        </w:rPr>
        <w:t xml:space="preserve"> и вывозных пошлин на нефть – при цене марки Urals свыше 20 долл. за баррель с </w:t>
      </w:r>
      <w:smartTag w:uri="urn:schemas-microsoft-com:office:smarttags" w:element="metricconverter">
        <w:smartTagPr>
          <w:attr w:name="ProductID" w:val="2004 г"/>
        </w:smartTagPr>
        <w:r w:rsidRPr="006F579C">
          <w:rPr>
            <w:sz w:val="28"/>
            <w:szCs w:val="28"/>
          </w:rPr>
          <w:t>2004 г</w:t>
        </w:r>
      </w:smartTag>
      <w:r w:rsidRPr="006F579C">
        <w:rPr>
          <w:sz w:val="28"/>
          <w:szCs w:val="28"/>
        </w:rPr>
        <w:t>. и 27 долл. за баррель с 2006г</w:t>
      </w:r>
      <w:r w:rsidR="00885DDA" w:rsidRPr="006F579C">
        <w:rPr>
          <w:sz w:val="28"/>
          <w:szCs w:val="28"/>
        </w:rPr>
        <w:t xml:space="preserve"> (Кудрин, 2006а). </w:t>
      </w:r>
      <w:r w:rsidRPr="006F579C">
        <w:rPr>
          <w:sz w:val="28"/>
          <w:szCs w:val="28"/>
        </w:rPr>
        <w:t>Полномочия по управлению средствами фонда возлагались на Минфин России, который, в соответствии с действовавшим бюджетным законодательством</w:t>
      </w:r>
      <w:r w:rsidR="004438E4" w:rsidRPr="006F579C">
        <w:rPr>
          <w:rStyle w:val="a7"/>
          <w:color w:val="000000"/>
          <w:sz w:val="28"/>
          <w:szCs w:val="28"/>
        </w:rPr>
        <w:footnoteReference w:id="2"/>
      </w:r>
      <w:r w:rsidRPr="006F579C">
        <w:rPr>
          <w:sz w:val="28"/>
          <w:szCs w:val="28"/>
        </w:rPr>
        <w:t xml:space="preserve"> мог управлять ими двумя способами: во-первых, вкладывая средства фонда в денежные обязательства в иностранной валюте (доллары США, евро и фунты стерлингов), во-вторых, приобретая долговые обязательства иностранных государств, согласно правилам управления средствами фонда, утвержденными Правительством Российской Федерации.</w:t>
      </w:r>
    </w:p>
    <w:p w:rsidR="00B203C8" w:rsidRPr="009960EC" w:rsidRDefault="00E74274" w:rsidP="009960EC">
      <w:pPr>
        <w:spacing w:after="0" w:line="360" w:lineRule="auto"/>
        <w:ind w:firstLine="851"/>
        <w:jc w:val="both"/>
        <w:rPr>
          <w:sz w:val="26"/>
          <w:szCs w:val="26"/>
        </w:rPr>
      </w:pPr>
      <w:r w:rsidRPr="006F579C">
        <w:rPr>
          <w:sz w:val="28"/>
          <w:szCs w:val="28"/>
        </w:rPr>
        <w:t>Говоря о направлении использования средств Стабфонда, стоит отметить, что в период его существования ценовая конъюнктура на нефть на мировых рынках оставалась благоприятной, в связи с чем расходование его средств на финансировании текущих расходов федерального бюджета не производилось. Напротив, благодаря тенденции к постоянному росту мировых цен на нефть, объем фонда постоянно увеличивался, за счет чего осуществлялось расходование средств фонда с целью сокращения внешнего долга России, а также осуществления расходов инвестиционного характера</w:t>
      </w:r>
      <w:r w:rsidR="002F13D4" w:rsidRPr="006F579C">
        <w:rPr>
          <w:sz w:val="28"/>
          <w:szCs w:val="28"/>
        </w:rPr>
        <w:t xml:space="preserve"> (Сухарев, 2010а)</w:t>
      </w:r>
      <w:r w:rsidRPr="006F579C">
        <w:rPr>
          <w:sz w:val="28"/>
          <w:szCs w:val="28"/>
        </w:rPr>
        <w:t xml:space="preserve">. Сведения о </w:t>
      </w:r>
      <w:r w:rsidR="00C95D2D" w:rsidRPr="006F579C">
        <w:rPr>
          <w:sz w:val="28"/>
          <w:szCs w:val="28"/>
        </w:rPr>
        <w:t>формировании и использовании средств</w:t>
      </w:r>
      <w:r w:rsidR="00CD34EC" w:rsidRPr="006F579C">
        <w:rPr>
          <w:sz w:val="28"/>
          <w:szCs w:val="28"/>
        </w:rPr>
        <w:t xml:space="preserve"> фонда </w:t>
      </w:r>
      <w:r w:rsidR="00C95D2D" w:rsidRPr="006F579C">
        <w:rPr>
          <w:sz w:val="28"/>
          <w:szCs w:val="28"/>
        </w:rPr>
        <w:t xml:space="preserve">в период </w:t>
      </w:r>
      <w:r w:rsidR="00CD34EC" w:rsidRPr="006F579C">
        <w:rPr>
          <w:sz w:val="28"/>
          <w:szCs w:val="28"/>
        </w:rPr>
        <w:t>с 2004</w:t>
      </w:r>
      <w:r w:rsidRPr="006F579C">
        <w:rPr>
          <w:sz w:val="28"/>
          <w:szCs w:val="28"/>
        </w:rPr>
        <w:t>г</w:t>
      </w:r>
      <w:r w:rsidR="00CD34EC" w:rsidRPr="006F579C">
        <w:rPr>
          <w:sz w:val="28"/>
          <w:szCs w:val="28"/>
        </w:rPr>
        <w:t>. по 2007</w:t>
      </w:r>
      <w:r w:rsidRPr="006F579C">
        <w:rPr>
          <w:sz w:val="28"/>
          <w:szCs w:val="28"/>
        </w:rPr>
        <w:t>г. представлены в Таб. 3.</w:t>
      </w:r>
    </w:p>
    <w:p w:rsidR="006F579C" w:rsidRDefault="006F579C" w:rsidP="009960EC">
      <w:pPr>
        <w:spacing w:after="0"/>
        <w:ind w:firstLine="1080"/>
        <w:jc w:val="right"/>
        <w:rPr>
          <w:i/>
          <w:sz w:val="26"/>
          <w:szCs w:val="26"/>
        </w:rPr>
      </w:pPr>
    </w:p>
    <w:p w:rsidR="006F579C" w:rsidRDefault="006F579C" w:rsidP="009960EC">
      <w:pPr>
        <w:spacing w:after="0"/>
        <w:ind w:firstLine="1080"/>
        <w:jc w:val="right"/>
        <w:rPr>
          <w:i/>
          <w:sz w:val="26"/>
          <w:szCs w:val="26"/>
        </w:rPr>
      </w:pPr>
    </w:p>
    <w:p w:rsidR="006F579C" w:rsidRDefault="006F579C" w:rsidP="009960EC">
      <w:pPr>
        <w:spacing w:after="0"/>
        <w:ind w:firstLine="1080"/>
        <w:jc w:val="right"/>
        <w:rPr>
          <w:i/>
          <w:sz w:val="26"/>
          <w:szCs w:val="26"/>
        </w:rPr>
      </w:pPr>
    </w:p>
    <w:p w:rsidR="006F579C" w:rsidRDefault="006F579C" w:rsidP="009960EC">
      <w:pPr>
        <w:spacing w:after="0"/>
        <w:ind w:firstLine="1080"/>
        <w:jc w:val="right"/>
        <w:rPr>
          <w:i/>
          <w:sz w:val="26"/>
          <w:szCs w:val="26"/>
        </w:rPr>
      </w:pPr>
    </w:p>
    <w:p w:rsidR="006F579C" w:rsidRDefault="006F579C" w:rsidP="003E504A">
      <w:pPr>
        <w:spacing w:after="0"/>
        <w:rPr>
          <w:i/>
          <w:sz w:val="26"/>
          <w:szCs w:val="26"/>
        </w:rPr>
      </w:pPr>
    </w:p>
    <w:p w:rsidR="00E74274" w:rsidRPr="00985D29" w:rsidRDefault="002F4055" w:rsidP="009960EC">
      <w:pPr>
        <w:spacing w:after="0"/>
        <w:ind w:firstLine="1080"/>
        <w:jc w:val="right"/>
        <w:rPr>
          <w:sz w:val="26"/>
          <w:szCs w:val="26"/>
        </w:rPr>
      </w:pPr>
      <w:r w:rsidRPr="00985D29">
        <w:rPr>
          <w:i/>
          <w:sz w:val="26"/>
          <w:szCs w:val="26"/>
        </w:rPr>
        <w:lastRenderedPageBreak/>
        <w:t>Таблица 3</w:t>
      </w:r>
    </w:p>
    <w:p w:rsidR="00E74274" w:rsidRPr="00985D29" w:rsidRDefault="00E74274" w:rsidP="009960EC">
      <w:pPr>
        <w:spacing w:after="0"/>
        <w:jc w:val="center"/>
        <w:rPr>
          <w:b/>
          <w:sz w:val="26"/>
          <w:szCs w:val="26"/>
        </w:rPr>
      </w:pPr>
      <w:r w:rsidRPr="00985D29">
        <w:rPr>
          <w:b/>
          <w:sz w:val="26"/>
          <w:szCs w:val="26"/>
        </w:rPr>
        <w:t>Движение средств Стабилизационного фонда РФ в 2004-2007 гг. (млрд. руб.)</w:t>
      </w:r>
    </w:p>
    <w:tbl>
      <w:tblPr>
        <w:tblStyle w:val="-110"/>
        <w:tblW w:w="9073" w:type="dxa"/>
        <w:tblLayout w:type="fixed"/>
        <w:tblLook w:val="0000"/>
      </w:tblPr>
      <w:tblGrid>
        <w:gridCol w:w="392"/>
        <w:gridCol w:w="3628"/>
        <w:gridCol w:w="1010"/>
        <w:gridCol w:w="1011"/>
        <w:gridCol w:w="1010"/>
        <w:gridCol w:w="1011"/>
        <w:gridCol w:w="1011"/>
      </w:tblGrid>
      <w:tr w:rsidR="00E74274" w:rsidRPr="00E42F04" w:rsidTr="00E42F04">
        <w:trPr>
          <w:cnfStyle w:val="000000100000"/>
          <w:trHeight w:val="720"/>
        </w:trPr>
        <w:tc>
          <w:tcPr>
            <w:cnfStyle w:val="000010000000"/>
            <w:tcW w:w="392" w:type="dxa"/>
            <w:shd w:val="clear" w:color="auto" w:fill="4F81BD" w:themeFill="accent1"/>
            <w:vAlign w:val="center"/>
          </w:tcPr>
          <w:p w:rsidR="00E74274" w:rsidRPr="00E42F04" w:rsidRDefault="00E74274" w:rsidP="00E42F04">
            <w:pPr>
              <w:jc w:val="center"/>
              <w:rPr>
                <w:b/>
                <w:bCs/>
                <w:color w:val="FFFFFF" w:themeColor="background1"/>
                <w:sz w:val="22"/>
                <w:szCs w:val="22"/>
              </w:rPr>
            </w:pPr>
            <w:r w:rsidRPr="00E42F04">
              <w:rPr>
                <w:b/>
                <w:bCs/>
                <w:color w:val="FFFFFF" w:themeColor="background1"/>
                <w:sz w:val="22"/>
                <w:szCs w:val="22"/>
              </w:rPr>
              <w:t>№</w:t>
            </w:r>
          </w:p>
        </w:tc>
        <w:tc>
          <w:tcPr>
            <w:tcW w:w="3628" w:type="dxa"/>
            <w:shd w:val="clear" w:color="auto" w:fill="4F81BD" w:themeFill="accent1"/>
            <w:vAlign w:val="center"/>
          </w:tcPr>
          <w:p w:rsidR="00E74274" w:rsidRPr="00E42F04" w:rsidRDefault="00E74274" w:rsidP="00E42F04">
            <w:pPr>
              <w:jc w:val="center"/>
              <w:cnfStyle w:val="000000100000"/>
              <w:rPr>
                <w:b/>
                <w:bCs/>
                <w:color w:val="FFFFFF" w:themeColor="background1"/>
                <w:sz w:val="22"/>
                <w:szCs w:val="22"/>
              </w:rPr>
            </w:pPr>
            <w:r w:rsidRPr="00E42F04">
              <w:rPr>
                <w:b/>
                <w:bCs/>
                <w:color w:val="FFFFFF" w:themeColor="background1"/>
                <w:sz w:val="22"/>
                <w:szCs w:val="22"/>
              </w:rPr>
              <w:t>Н</w:t>
            </w:r>
            <w:r w:rsidR="00E42F04" w:rsidRPr="00E42F04">
              <w:rPr>
                <w:b/>
                <w:bCs/>
                <w:color w:val="FFFFFF" w:themeColor="background1"/>
                <w:sz w:val="22"/>
                <w:szCs w:val="22"/>
              </w:rPr>
              <w:t>аименование</w:t>
            </w:r>
          </w:p>
        </w:tc>
        <w:tc>
          <w:tcPr>
            <w:cnfStyle w:val="000010000000"/>
            <w:tcW w:w="1010" w:type="dxa"/>
            <w:shd w:val="clear" w:color="auto" w:fill="4F81BD" w:themeFill="accent1"/>
            <w:noWrap/>
            <w:vAlign w:val="center"/>
          </w:tcPr>
          <w:p w:rsidR="00E74274" w:rsidRPr="00E42F04" w:rsidRDefault="00E74274" w:rsidP="00E42F04">
            <w:pPr>
              <w:jc w:val="center"/>
              <w:rPr>
                <w:b/>
                <w:bCs/>
                <w:color w:val="FFFFFF" w:themeColor="background1"/>
                <w:sz w:val="22"/>
                <w:szCs w:val="22"/>
              </w:rPr>
            </w:pPr>
            <w:r w:rsidRPr="00E42F04">
              <w:rPr>
                <w:b/>
                <w:bCs/>
                <w:color w:val="FFFFFF" w:themeColor="background1"/>
                <w:sz w:val="22"/>
                <w:szCs w:val="22"/>
              </w:rPr>
              <w:t>2004</w:t>
            </w:r>
          </w:p>
        </w:tc>
        <w:tc>
          <w:tcPr>
            <w:tcW w:w="1011" w:type="dxa"/>
            <w:shd w:val="clear" w:color="auto" w:fill="4F81BD" w:themeFill="accent1"/>
            <w:noWrap/>
            <w:vAlign w:val="center"/>
          </w:tcPr>
          <w:p w:rsidR="00E74274" w:rsidRPr="00E42F04" w:rsidRDefault="00E74274" w:rsidP="00E42F04">
            <w:pPr>
              <w:jc w:val="center"/>
              <w:cnfStyle w:val="000000100000"/>
              <w:rPr>
                <w:b/>
                <w:bCs/>
                <w:color w:val="FFFFFF" w:themeColor="background1"/>
                <w:sz w:val="22"/>
                <w:szCs w:val="22"/>
              </w:rPr>
            </w:pPr>
            <w:r w:rsidRPr="00E42F04">
              <w:rPr>
                <w:b/>
                <w:bCs/>
                <w:color w:val="FFFFFF" w:themeColor="background1"/>
                <w:sz w:val="22"/>
                <w:szCs w:val="22"/>
              </w:rPr>
              <w:t>2005</w:t>
            </w:r>
          </w:p>
        </w:tc>
        <w:tc>
          <w:tcPr>
            <w:cnfStyle w:val="000010000000"/>
            <w:tcW w:w="1010" w:type="dxa"/>
            <w:shd w:val="clear" w:color="auto" w:fill="4F81BD" w:themeFill="accent1"/>
            <w:noWrap/>
            <w:vAlign w:val="center"/>
          </w:tcPr>
          <w:p w:rsidR="00E74274" w:rsidRPr="00E42F04" w:rsidRDefault="00E74274" w:rsidP="00E42F04">
            <w:pPr>
              <w:jc w:val="center"/>
              <w:rPr>
                <w:b/>
                <w:bCs/>
                <w:color w:val="FFFFFF" w:themeColor="background1"/>
                <w:sz w:val="22"/>
                <w:szCs w:val="22"/>
              </w:rPr>
            </w:pPr>
            <w:r w:rsidRPr="00E42F04">
              <w:rPr>
                <w:b/>
                <w:bCs/>
                <w:color w:val="FFFFFF" w:themeColor="background1"/>
                <w:sz w:val="22"/>
                <w:szCs w:val="22"/>
              </w:rPr>
              <w:t>2006</w:t>
            </w:r>
          </w:p>
        </w:tc>
        <w:tc>
          <w:tcPr>
            <w:tcW w:w="1011" w:type="dxa"/>
            <w:shd w:val="clear" w:color="auto" w:fill="4F81BD" w:themeFill="accent1"/>
            <w:vAlign w:val="center"/>
          </w:tcPr>
          <w:p w:rsidR="00E74274" w:rsidRPr="00E42F04" w:rsidRDefault="00E74274" w:rsidP="00E42F04">
            <w:pPr>
              <w:jc w:val="center"/>
              <w:cnfStyle w:val="000000100000"/>
              <w:rPr>
                <w:b/>
                <w:bCs/>
                <w:color w:val="FFFFFF" w:themeColor="background1"/>
                <w:sz w:val="22"/>
                <w:szCs w:val="22"/>
              </w:rPr>
            </w:pPr>
            <w:r w:rsidRPr="00E42F04">
              <w:rPr>
                <w:b/>
                <w:bCs/>
                <w:color w:val="FFFFFF" w:themeColor="background1"/>
                <w:sz w:val="22"/>
                <w:szCs w:val="22"/>
              </w:rPr>
              <w:t>2007</w:t>
            </w:r>
          </w:p>
        </w:tc>
        <w:tc>
          <w:tcPr>
            <w:cnfStyle w:val="000010000000"/>
            <w:tcW w:w="1011" w:type="dxa"/>
            <w:shd w:val="clear" w:color="auto" w:fill="4F81BD" w:themeFill="accent1"/>
            <w:vAlign w:val="center"/>
          </w:tcPr>
          <w:p w:rsidR="00E74274" w:rsidRPr="00E42F04" w:rsidRDefault="00E74274" w:rsidP="00E42F04">
            <w:pPr>
              <w:jc w:val="center"/>
              <w:rPr>
                <w:b/>
                <w:bCs/>
                <w:color w:val="FFFFFF" w:themeColor="background1"/>
                <w:sz w:val="22"/>
                <w:szCs w:val="22"/>
              </w:rPr>
            </w:pPr>
            <w:r w:rsidRPr="00E42F04">
              <w:rPr>
                <w:b/>
                <w:bCs/>
                <w:color w:val="FFFFFF" w:themeColor="background1"/>
                <w:sz w:val="22"/>
                <w:szCs w:val="22"/>
              </w:rPr>
              <w:t>В</w:t>
            </w:r>
            <w:r w:rsidR="00E42F04" w:rsidRPr="00E42F04">
              <w:rPr>
                <w:b/>
                <w:bCs/>
                <w:color w:val="FFFFFF" w:themeColor="background1"/>
                <w:sz w:val="22"/>
                <w:szCs w:val="22"/>
              </w:rPr>
              <w:t>сего</w:t>
            </w:r>
            <w:r w:rsidRPr="00E42F04">
              <w:rPr>
                <w:b/>
                <w:bCs/>
                <w:color w:val="FFFFFF" w:themeColor="background1"/>
                <w:sz w:val="22"/>
                <w:szCs w:val="22"/>
              </w:rPr>
              <w:t xml:space="preserve">                             в 2004-2007 гг</w:t>
            </w:r>
          </w:p>
        </w:tc>
      </w:tr>
      <w:tr w:rsidR="00E74274" w:rsidRPr="00E42F04" w:rsidTr="009251DC">
        <w:trPr>
          <w:cnfStyle w:val="000000010000"/>
          <w:trHeight w:val="300"/>
        </w:trPr>
        <w:tc>
          <w:tcPr>
            <w:cnfStyle w:val="000010000000"/>
            <w:tcW w:w="392" w:type="dxa"/>
            <w:shd w:val="clear" w:color="auto" w:fill="DBE5F1" w:themeFill="accent1" w:themeFillTint="33"/>
            <w:noWrap/>
          </w:tcPr>
          <w:p w:rsidR="00E74274" w:rsidRPr="00E42F04" w:rsidRDefault="00E74274" w:rsidP="00D77A6B">
            <w:pPr>
              <w:jc w:val="center"/>
              <w:rPr>
                <w:b/>
                <w:bCs/>
                <w:sz w:val="22"/>
                <w:szCs w:val="22"/>
              </w:rPr>
            </w:pPr>
            <w:r w:rsidRPr="00E42F04">
              <w:rPr>
                <w:b/>
                <w:bCs/>
                <w:sz w:val="22"/>
                <w:szCs w:val="22"/>
              </w:rPr>
              <w:t>1</w:t>
            </w:r>
          </w:p>
        </w:tc>
        <w:tc>
          <w:tcPr>
            <w:tcW w:w="3628" w:type="dxa"/>
            <w:shd w:val="clear" w:color="auto" w:fill="DBE5F1" w:themeFill="accent1" w:themeFillTint="33"/>
            <w:noWrap/>
          </w:tcPr>
          <w:p w:rsidR="00E74274" w:rsidRPr="00E42F04" w:rsidRDefault="00E74274" w:rsidP="00D77A6B">
            <w:pPr>
              <w:cnfStyle w:val="000000010000"/>
              <w:rPr>
                <w:b/>
                <w:bCs/>
                <w:sz w:val="22"/>
                <w:szCs w:val="22"/>
              </w:rPr>
            </w:pPr>
            <w:r w:rsidRPr="00E42F04">
              <w:rPr>
                <w:b/>
                <w:bCs/>
                <w:sz w:val="22"/>
                <w:szCs w:val="22"/>
              </w:rPr>
              <w:t>Остатки на начало периода</w:t>
            </w:r>
          </w:p>
        </w:tc>
        <w:tc>
          <w:tcPr>
            <w:cnfStyle w:val="000010000000"/>
            <w:tcW w:w="1010" w:type="dxa"/>
            <w:shd w:val="clear" w:color="auto" w:fill="DBE5F1" w:themeFill="accent1" w:themeFillTint="33"/>
            <w:noWrap/>
          </w:tcPr>
          <w:p w:rsidR="00E74274" w:rsidRPr="00E42F04" w:rsidRDefault="00E74274" w:rsidP="00D77A6B">
            <w:pPr>
              <w:jc w:val="center"/>
              <w:rPr>
                <w:sz w:val="22"/>
                <w:szCs w:val="22"/>
              </w:rPr>
            </w:pPr>
            <w:r w:rsidRPr="00E42F04">
              <w:rPr>
                <w:sz w:val="22"/>
                <w:szCs w:val="22"/>
              </w:rPr>
              <w:t>-</w:t>
            </w:r>
          </w:p>
        </w:tc>
        <w:tc>
          <w:tcPr>
            <w:tcW w:w="1011" w:type="dxa"/>
            <w:shd w:val="clear" w:color="auto" w:fill="DBE5F1" w:themeFill="accent1" w:themeFillTint="33"/>
            <w:noWrap/>
          </w:tcPr>
          <w:p w:rsidR="00E74274" w:rsidRPr="00E42F04" w:rsidRDefault="00E74274" w:rsidP="00D77A6B">
            <w:pPr>
              <w:jc w:val="center"/>
              <w:cnfStyle w:val="000000010000"/>
              <w:rPr>
                <w:sz w:val="22"/>
                <w:szCs w:val="22"/>
              </w:rPr>
            </w:pPr>
            <w:r w:rsidRPr="00E42F04">
              <w:rPr>
                <w:sz w:val="22"/>
                <w:szCs w:val="22"/>
              </w:rPr>
              <w:t>522,27</w:t>
            </w:r>
          </w:p>
        </w:tc>
        <w:tc>
          <w:tcPr>
            <w:cnfStyle w:val="000010000000"/>
            <w:tcW w:w="1010" w:type="dxa"/>
            <w:shd w:val="clear" w:color="auto" w:fill="DBE5F1" w:themeFill="accent1" w:themeFillTint="33"/>
            <w:noWrap/>
          </w:tcPr>
          <w:p w:rsidR="00E74274" w:rsidRPr="00E42F04" w:rsidRDefault="00E74274" w:rsidP="00D77A6B">
            <w:pPr>
              <w:jc w:val="center"/>
              <w:rPr>
                <w:sz w:val="22"/>
                <w:szCs w:val="22"/>
              </w:rPr>
            </w:pPr>
            <w:r w:rsidRPr="00E42F04">
              <w:rPr>
                <w:sz w:val="22"/>
                <w:szCs w:val="22"/>
              </w:rPr>
              <w:t>1 237,03</w:t>
            </w:r>
          </w:p>
        </w:tc>
        <w:tc>
          <w:tcPr>
            <w:tcW w:w="1011" w:type="dxa"/>
            <w:shd w:val="clear" w:color="auto" w:fill="DBE5F1" w:themeFill="accent1" w:themeFillTint="33"/>
            <w:noWrap/>
          </w:tcPr>
          <w:p w:rsidR="00E74274" w:rsidRPr="00E42F04" w:rsidRDefault="00E74274" w:rsidP="00D77A6B">
            <w:pPr>
              <w:jc w:val="center"/>
              <w:cnfStyle w:val="000000010000"/>
              <w:rPr>
                <w:sz w:val="22"/>
                <w:szCs w:val="22"/>
              </w:rPr>
            </w:pPr>
            <w:r w:rsidRPr="00E42F04">
              <w:rPr>
                <w:sz w:val="22"/>
                <w:szCs w:val="22"/>
              </w:rPr>
              <w:t>2 346,92</w:t>
            </w:r>
          </w:p>
        </w:tc>
        <w:tc>
          <w:tcPr>
            <w:cnfStyle w:val="000010000000"/>
            <w:tcW w:w="1011" w:type="dxa"/>
            <w:shd w:val="clear" w:color="auto" w:fill="DBE5F1" w:themeFill="accent1" w:themeFillTint="33"/>
            <w:noWrap/>
          </w:tcPr>
          <w:p w:rsidR="00E74274" w:rsidRPr="00E42F04" w:rsidRDefault="00E74274" w:rsidP="00D77A6B">
            <w:pPr>
              <w:jc w:val="center"/>
              <w:rPr>
                <w:sz w:val="22"/>
                <w:szCs w:val="22"/>
              </w:rPr>
            </w:pPr>
            <w:r w:rsidRPr="00E42F04">
              <w:rPr>
                <w:sz w:val="22"/>
                <w:szCs w:val="22"/>
              </w:rPr>
              <w:t>-</w:t>
            </w:r>
          </w:p>
        </w:tc>
      </w:tr>
      <w:tr w:rsidR="00E74274" w:rsidRPr="00E42F04" w:rsidTr="009251DC">
        <w:trPr>
          <w:cnfStyle w:val="000000100000"/>
          <w:trHeight w:val="255"/>
        </w:trPr>
        <w:tc>
          <w:tcPr>
            <w:cnfStyle w:val="000010000000"/>
            <w:tcW w:w="392" w:type="dxa"/>
            <w:shd w:val="clear" w:color="auto" w:fill="DBE5F1" w:themeFill="accent1" w:themeFillTint="33"/>
            <w:noWrap/>
          </w:tcPr>
          <w:p w:rsidR="00E74274" w:rsidRPr="00E42F04" w:rsidRDefault="00E74274" w:rsidP="00D77A6B">
            <w:pPr>
              <w:jc w:val="center"/>
              <w:rPr>
                <w:b/>
                <w:bCs/>
                <w:sz w:val="22"/>
                <w:szCs w:val="22"/>
              </w:rPr>
            </w:pPr>
            <w:r w:rsidRPr="00E42F04">
              <w:rPr>
                <w:b/>
                <w:bCs/>
                <w:sz w:val="22"/>
                <w:szCs w:val="22"/>
              </w:rPr>
              <w:t>2</w:t>
            </w:r>
          </w:p>
        </w:tc>
        <w:tc>
          <w:tcPr>
            <w:tcW w:w="3628" w:type="dxa"/>
            <w:shd w:val="clear" w:color="auto" w:fill="DBE5F1" w:themeFill="accent1" w:themeFillTint="33"/>
            <w:noWrap/>
          </w:tcPr>
          <w:p w:rsidR="00E74274" w:rsidRPr="00E42F04" w:rsidRDefault="00E74274" w:rsidP="00D77A6B">
            <w:pPr>
              <w:cnfStyle w:val="000000100000"/>
              <w:rPr>
                <w:b/>
                <w:bCs/>
                <w:sz w:val="22"/>
                <w:szCs w:val="22"/>
              </w:rPr>
            </w:pPr>
            <w:r w:rsidRPr="00E42F04">
              <w:rPr>
                <w:b/>
                <w:bCs/>
                <w:sz w:val="22"/>
                <w:szCs w:val="22"/>
              </w:rPr>
              <w:t>Пополнение Стабфонда</w:t>
            </w:r>
          </w:p>
        </w:tc>
        <w:tc>
          <w:tcPr>
            <w:cnfStyle w:val="000010000000"/>
            <w:tcW w:w="1010" w:type="dxa"/>
            <w:shd w:val="clear" w:color="auto" w:fill="DBE5F1" w:themeFill="accent1" w:themeFillTint="33"/>
            <w:noWrap/>
          </w:tcPr>
          <w:p w:rsidR="00E74274" w:rsidRPr="00E42F04" w:rsidRDefault="00E74274" w:rsidP="00D77A6B">
            <w:pPr>
              <w:jc w:val="center"/>
              <w:rPr>
                <w:sz w:val="22"/>
                <w:szCs w:val="22"/>
              </w:rPr>
            </w:pPr>
            <w:r w:rsidRPr="00E42F04">
              <w:rPr>
                <w:sz w:val="22"/>
                <w:szCs w:val="22"/>
              </w:rPr>
              <w:t>522,27</w:t>
            </w:r>
          </w:p>
        </w:tc>
        <w:tc>
          <w:tcPr>
            <w:tcW w:w="1011" w:type="dxa"/>
            <w:shd w:val="clear" w:color="auto" w:fill="DBE5F1" w:themeFill="accent1" w:themeFillTint="33"/>
            <w:noWrap/>
          </w:tcPr>
          <w:p w:rsidR="00E74274" w:rsidRPr="00E42F04" w:rsidRDefault="00E74274" w:rsidP="00D77A6B">
            <w:pPr>
              <w:jc w:val="center"/>
              <w:cnfStyle w:val="000000100000"/>
              <w:rPr>
                <w:sz w:val="22"/>
                <w:szCs w:val="22"/>
              </w:rPr>
            </w:pPr>
            <w:r w:rsidRPr="00E42F04">
              <w:rPr>
                <w:sz w:val="22"/>
                <w:szCs w:val="22"/>
              </w:rPr>
              <w:t>1 387,82</w:t>
            </w:r>
          </w:p>
        </w:tc>
        <w:tc>
          <w:tcPr>
            <w:cnfStyle w:val="000010000000"/>
            <w:tcW w:w="1010" w:type="dxa"/>
            <w:shd w:val="clear" w:color="auto" w:fill="DBE5F1" w:themeFill="accent1" w:themeFillTint="33"/>
            <w:noWrap/>
          </w:tcPr>
          <w:p w:rsidR="00E74274" w:rsidRPr="00E42F04" w:rsidRDefault="00E74274" w:rsidP="00D77A6B">
            <w:pPr>
              <w:jc w:val="center"/>
              <w:rPr>
                <w:sz w:val="22"/>
                <w:szCs w:val="22"/>
              </w:rPr>
            </w:pPr>
            <w:r w:rsidRPr="00E42F04">
              <w:rPr>
                <w:sz w:val="22"/>
                <w:szCs w:val="22"/>
              </w:rPr>
              <w:t>1 708,63</w:t>
            </w:r>
          </w:p>
        </w:tc>
        <w:tc>
          <w:tcPr>
            <w:tcW w:w="1011" w:type="dxa"/>
            <w:shd w:val="clear" w:color="auto" w:fill="DBE5F1" w:themeFill="accent1" w:themeFillTint="33"/>
            <w:noWrap/>
          </w:tcPr>
          <w:p w:rsidR="00E74274" w:rsidRPr="00E42F04" w:rsidRDefault="00E74274" w:rsidP="00D77A6B">
            <w:pPr>
              <w:jc w:val="center"/>
              <w:cnfStyle w:val="000000100000"/>
              <w:rPr>
                <w:sz w:val="22"/>
                <w:szCs w:val="22"/>
              </w:rPr>
            </w:pPr>
            <w:r w:rsidRPr="00E42F04">
              <w:rPr>
                <w:sz w:val="22"/>
                <w:szCs w:val="22"/>
              </w:rPr>
              <w:t>1 895,96</w:t>
            </w:r>
          </w:p>
        </w:tc>
        <w:tc>
          <w:tcPr>
            <w:cnfStyle w:val="000010000000"/>
            <w:tcW w:w="1011" w:type="dxa"/>
            <w:shd w:val="clear" w:color="auto" w:fill="DBE5F1" w:themeFill="accent1" w:themeFillTint="33"/>
            <w:noWrap/>
          </w:tcPr>
          <w:p w:rsidR="00E74274" w:rsidRPr="00E42F04" w:rsidRDefault="00E74274" w:rsidP="00D77A6B">
            <w:pPr>
              <w:jc w:val="center"/>
              <w:rPr>
                <w:sz w:val="22"/>
                <w:szCs w:val="22"/>
              </w:rPr>
            </w:pPr>
            <w:r w:rsidRPr="00E42F04">
              <w:rPr>
                <w:sz w:val="22"/>
                <w:szCs w:val="22"/>
              </w:rPr>
              <w:t>5 514,68</w:t>
            </w:r>
          </w:p>
        </w:tc>
      </w:tr>
      <w:tr w:rsidR="00E74274" w:rsidRPr="00E42F04" w:rsidTr="009251DC">
        <w:trPr>
          <w:cnfStyle w:val="000000010000"/>
          <w:trHeight w:val="255"/>
        </w:trPr>
        <w:tc>
          <w:tcPr>
            <w:cnfStyle w:val="000010000000"/>
            <w:tcW w:w="392" w:type="dxa"/>
            <w:shd w:val="clear" w:color="auto" w:fill="auto"/>
            <w:noWrap/>
          </w:tcPr>
          <w:p w:rsidR="00E74274" w:rsidRPr="00E42F04" w:rsidRDefault="00E74274" w:rsidP="00D77A6B">
            <w:pPr>
              <w:jc w:val="center"/>
              <w:rPr>
                <w:b/>
                <w:bCs/>
                <w:sz w:val="22"/>
                <w:szCs w:val="22"/>
              </w:rPr>
            </w:pPr>
          </w:p>
        </w:tc>
        <w:tc>
          <w:tcPr>
            <w:tcW w:w="3628" w:type="dxa"/>
            <w:shd w:val="clear" w:color="auto" w:fill="auto"/>
            <w:noWrap/>
          </w:tcPr>
          <w:p w:rsidR="00E74274" w:rsidRPr="00E42F04" w:rsidRDefault="00E74274" w:rsidP="00D77A6B">
            <w:pPr>
              <w:cnfStyle w:val="000000010000"/>
              <w:rPr>
                <w:sz w:val="22"/>
                <w:szCs w:val="22"/>
              </w:rPr>
            </w:pPr>
            <w:r w:rsidRPr="00E42F04">
              <w:rPr>
                <w:sz w:val="22"/>
                <w:szCs w:val="22"/>
              </w:rPr>
              <w:t>2.1.О</w:t>
            </w:r>
            <w:r w:rsidR="00E42F04" w:rsidRPr="00E42F04">
              <w:rPr>
                <w:sz w:val="22"/>
                <w:szCs w:val="22"/>
              </w:rPr>
              <w:t>статки федерального бюджета</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106,00</w:t>
            </w:r>
          </w:p>
        </w:tc>
        <w:tc>
          <w:tcPr>
            <w:tcW w:w="1011" w:type="dxa"/>
            <w:shd w:val="clear" w:color="auto" w:fill="auto"/>
            <w:noWrap/>
          </w:tcPr>
          <w:p w:rsidR="00E74274" w:rsidRPr="00E42F04" w:rsidRDefault="00E74274" w:rsidP="00D77A6B">
            <w:pPr>
              <w:jc w:val="center"/>
              <w:cnfStyle w:val="000000010000"/>
              <w:rPr>
                <w:sz w:val="22"/>
                <w:szCs w:val="22"/>
              </w:rPr>
            </w:pPr>
            <w:r w:rsidRPr="00E42F04">
              <w:rPr>
                <w:sz w:val="22"/>
                <w:szCs w:val="22"/>
              </w:rPr>
              <w:t>217,12</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47,75</w:t>
            </w:r>
          </w:p>
        </w:tc>
        <w:tc>
          <w:tcPr>
            <w:tcW w:w="1011" w:type="dxa"/>
            <w:shd w:val="clear" w:color="auto" w:fill="auto"/>
            <w:noWrap/>
          </w:tcPr>
          <w:p w:rsidR="00E74274" w:rsidRPr="00E42F04" w:rsidRDefault="00E74274" w:rsidP="00D77A6B">
            <w:pPr>
              <w:jc w:val="center"/>
              <w:cnfStyle w:val="000000010000"/>
              <w:rPr>
                <w:sz w:val="22"/>
                <w:szCs w:val="22"/>
              </w:rPr>
            </w:pPr>
            <w:r w:rsidRPr="00E42F04">
              <w:rPr>
                <w:sz w:val="22"/>
                <w:szCs w:val="22"/>
              </w:rPr>
              <w:t>156,71</w:t>
            </w:r>
          </w:p>
        </w:tc>
        <w:tc>
          <w:tcPr>
            <w:cnfStyle w:val="000010000000"/>
            <w:tcW w:w="1011" w:type="dxa"/>
            <w:shd w:val="clear" w:color="auto" w:fill="auto"/>
            <w:noWrap/>
          </w:tcPr>
          <w:p w:rsidR="00E74274" w:rsidRPr="00E42F04" w:rsidRDefault="00E74274" w:rsidP="00D77A6B">
            <w:pPr>
              <w:jc w:val="center"/>
              <w:rPr>
                <w:sz w:val="22"/>
                <w:szCs w:val="22"/>
              </w:rPr>
            </w:pPr>
            <w:r w:rsidRPr="00E42F04">
              <w:rPr>
                <w:sz w:val="22"/>
                <w:szCs w:val="22"/>
              </w:rPr>
              <w:t>527,58</w:t>
            </w:r>
          </w:p>
        </w:tc>
      </w:tr>
      <w:tr w:rsidR="00E74274" w:rsidRPr="00E42F04" w:rsidTr="009251DC">
        <w:trPr>
          <w:cnfStyle w:val="000000100000"/>
          <w:trHeight w:val="255"/>
        </w:trPr>
        <w:tc>
          <w:tcPr>
            <w:cnfStyle w:val="000010000000"/>
            <w:tcW w:w="392" w:type="dxa"/>
            <w:shd w:val="clear" w:color="auto" w:fill="auto"/>
            <w:noWrap/>
          </w:tcPr>
          <w:p w:rsidR="00E74274" w:rsidRPr="00E42F04" w:rsidRDefault="00E74274" w:rsidP="00D77A6B">
            <w:pPr>
              <w:jc w:val="center"/>
              <w:rPr>
                <w:sz w:val="22"/>
                <w:szCs w:val="22"/>
              </w:rPr>
            </w:pPr>
          </w:p>
        </w:tc>
        <w:tc>
          <w:tcPr>
            <w:tcW w:w="3628" w:type="dxa"/>
            <w:shd w:val="clear" w:color="auto" w:fill="auto"/>
            <w:noWrap/>
          </w:tcPr>
          <w:p w:rsidR="00E74274" w:rsidRPr="00E42F04" w:rsidRDefault="00E42F04" w:rsidP="00D77A6B">
            <w:pPr>
              <w:cnfStyle w:val="000000100000"/>
              <w:rPr>
                <w:sz w:val="22"/>
                <w:szCs w:val="22"/>
              </w:rPr>
            </w:pPr>
            <w:r w:rsidRPr="00E42F04">
              <w:rPr>
                <w:sz w:val="22"/>
                <w:szCs w:val="22"/>
              </w:rPr>
              <w:t>2.2.Дополнительные доходы</w:t>
            </w:r>
            <w:r w:rsidR="00E74274" w:rsidRPr="00E42F04">
              <w:rPr>
                <w:sz w:val="22"/>
                <w:szCs w:val="22"/>
              </w:rPr>
              <w:t>:</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416,27</w:t>
            </w:r>
          </w:p>
        </w:tc>
        <w:tc>
          <w:tcPr>
            <w:tcW w:w="1011" w:type="dxa"/>
            <w:shd w:val="clear" w:color="auto" w:fill="auto"/>
            <w:noWrap/>
          </w:tcPr>
          <w:p w:rsidR="00E74274" w:rsidRPr="00E42F04" w:rsidRDefault="00E74274" w:rsidP="00D77A6B">
            <w:pPr>
              <w:jc w:val="center"/>
              <w:cnfStyle w:val="000000100000"/>
              <w:rPr>
                <w:sz w:val="22"/>
                <w:szCs w:val="22"/>
              </w:rPr>
            </w:pPr>
            <w:r w:rsidRPr="00E42F04">
              <w:rPr>
                <w:sz w:val="22"/>
                <w:szCs w:val="22"/>
              </w:rPr>
              <w:t>1 170,70</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1 637,88</w:t>
            </w:r>
          </w:p>
        </w:tc>
        <w:tc>
          <w:tcPr>
            <w:tcW w:w="1011" w:type="dxa"/>
            <w:shd w:val="clear" w:color="auto" w:fill="auto"/>
            <w:noWrap/>
          </w:tcPr>
          <w:p w:rsidR="00E74274" w:rsidRPr="00E42F04" w:rsidRDefault="00E74274" w:rsidP="00D77A6B">
            <w:pPr>
              <w:jc w:val="center"/>
              <w:cnfStyle w:val="000000100000"/>
              <w:rPr>
                <w:sz w:val="22"/>
                <w:szCs w:val="22"/>
              </w:rPr>
            </w:pPr>
            <w:r w:rsidRPr="00E42F04">
              <w:rPr>
                <w:sz w:val="22"/>
                <w:szCs w:val="22"/>
              </w:rPr>
              <w:t>1 593,70</w:t>
            </w:r>
          </w:p>
        </w:tc>
        <w:tc>
          <w:tcPr>
            <w:cnfStyle w:val="000010000000"/>
            <w:tcW w:w="1011" w:type="dxa"/>
            <w:shd w:val="clear" w:color="auto" w:fill="auto"/>
            <w:noWrap/>
          </w:tcPr>
          <w:p w:rsidR="00E74274" w:rsidRPr="00E42F04" w:rsidRDefault="00E74274" w:rsidP="00D77A6B">
            <w:pPr>
              <w:jc w:val="center"/>
              <w:rPr>
                <w:sz w:val="22"/>
                <w:szCs w:val="22"/>
              </w:rPr>
            </w:pPr>
            <w:r w:rsidRPr="00E42F04">
              <w:rPr>
                <w:sz w:val="22"/>
                <w:szCs w:val="22"/>
              </w:rPr>
              <w:t>4 818,55</w:t>
            </w:r>
          </w:p>
        </w:tc>
      </w:tr>
      <w:tr w:rsidR="00E74274" w:rsidRPr="00E42F04" w:rsidTr="009251DC">
        <w:trPr>
          <w:cnfStyle w:val="000000010000"/>
          <w:trHeight w:val="255"/>
        </w:trPr>
        <w:tc>
          <w:tcPr>
            <w:cnfStyle w:val="000010000000"/>
            <w:tcW w:w="392" w:type="dxa"/>
            <w:shd w:val="clear" w:color="auto" w:fill="auto"/>
            <w:noWrap/>
          </w:tcPr>
          <w:p w:rsidR="00E74274" w:rsidRPr="00E42F04" w:rsidRDefault="00E74274" w:rsidP="00D77A6B">
            <w:pPr>
              <w:jc w:val="center"/>
              <w:rPr>
                <w:sz w:val="22"/>
                <w:szCs w:val="22"/>
              </w:rPr>
            </w:pPr>
          </w:p>
        </w:tc>
        <w:tc>
          <w:tcPr>
            <w:tcW w:w="3628" w:type="dxa"/>
            <w:shd w:val="clear" w:color="auto" w:fill="auto"/>
            <w:noWrap/>
          </w:tcPr>
          <w:p w:rsidR="00E74274" w:rsidRPr="00E42F04" w:rsidRDefault="00E74274" w:rsidP="00D77A6B">
            <w:pPr>
              <w:cnfStyle w:val="000000010000"/>
              <w:rPr>
                <w:sz w:val="22"/>
                <w:szCs w:val="22"/>
              </w:rPr>
            </w:pPr>
            <w:r w:rsidRPr="00E42F04">
              <w:rPr>
                <w:sz w:val="22"/>
                <w:szCs w:val="22"/>
              </w:rPr>
              <w:t xml:space="preserve">       2.2.1.НДПИ</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175,46</w:t>
            </w:r>
          </w:p>
        </w:tc>
        <w:tc>
          <w:tcPr>
            <w:tcW w:w="1011" w:type="dxa"/>
            <w:shd w:val="clear" w:color="auto" w:fill="auto"/>
            <w:noWrap/>
          </w:tcPr>
          <w:p w:rsidR="00E74274" w:rsidRPr="00E42F04" w:rsidRDefault="00E74274" w:rsidP="00D77A6B">
            <w:pPr>
              <w:jc w:val="center"/>
              <w:cnfStyle w:val="000000010000"/>
              <w:rPr>
                <w:sz w:val="22"/>
                <w:szCs w:val="22"/>
              </w:rPr>
            </w:pPr>
            <w:r w:rsidRPr="00E42F04">
              <w:rPr>
                <w:sz w:val="22"/>
                <w:szCs w:val="22"/>
              </w:rPr>
              <w:t>507,27</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646,67</w:t>
            </w:r>
          </w:p>
        </w:tc>
        <w:tc>
          <w:tcPr>
            <w:tcW w:w="1011" w:type="dxa"/>
            <w:shd w:val="clear" w:color="auto" w:fill="auto"/>
            <w:noWrap/>
          </w:tcPr>
          <w:p w:rsidR="00E74274" w:rsidRPr="00E42F04" w:rsidRDefault="00E74274" w:rsidP="00D77A6B">
            <w:pPr>
              <w:jc w:val="center"/>
              <w:cnfStyle w:val="000000010000"/>
              <w:rPr>
                <w:sz w:val="22"/>
                <w:szCs w:val="22"/>
              </w:rPr>
            </w:pPr>
            <w:r w:rsidRPr="00E42F04">
              <w:rPr>
                <w:sz w:val="22"/>
                <w:szCs w:val="22"/>
              </w:rPr>
              <w:t>674,71</w:t>
            </w:r>
          </w:p>
        </w:tc>
        <w:tc>
          <w:tcPr>
            <w:cnfStyle w:val="000010000000"/>
            <w:tcW w:w="1011" w:type="dxa"/>
            <w:shd w:val="clear" w:color="auto" w:fill="auto"/>
            <w:noWrap/>
          </w:tcPr>
          <w:p w:rsidR="00E74274" w:rsidRPr="00E42F04" w:rsidRDefault="00E74274" w:rsidP="00D77A6B">
            <w:pPr>
              <w:jc w:val="center"/>
              <w:rPr>
                <w:sz w:val="22"/>
                <w:szCs w:val="22"/>
              </w:rPr>
            </w:pPr>
            <w:r w:rsidRPr="00E42F04">
              <w:rPr>
                <w:sz w:val="22"/>
                <w:szCs w:val="22"/>
              </w:rPr>
              <w:t>2 004,11</w:t>
            </w:r>
          </w:p>
        </w:tc>
      </w:tr>
      <w:tr w:rsidR="00E74274" w:rsidRPr="00E42F04" w:rsidTr="009251DC">
        <w:trPr>
          <w:cnfStyle w:val="000000100000"/>
          <w:trHeight w:val="255"/>
        </w:trPr>
        <w:tc>
          <w:tcPr>
            <w:cnfStyle w:val="000010000000"/>
            <w:tcW w:w="392" w:type="dxa"/>
            <w:shd w:val="clear" w:color="auto" w:fill="auto"/>
            <w:noWrap/>
          </w:tcPr>
          <w:p w:rsidR="00E74274" w:rsidRPr="00E42F04" w:rsidRDefault="00E74274" w:rsidP="00D77A6B">
            <w:pPr>
              <w:jc w:val="center"/>
              <w:rPr>
                <w:sz w:val="22"/>
                <w:szCs w:val="22"/>
              </w:rPr>
            </w:pPr>
          </w:p>
        </w:tc>
        <w:tc>
          <w:tcPr>
            <w:tcW w:w="3628" w:type="dxa"/>
            <w:shd w:val="clear" w:color="auto" w:fill="auto"/>
            <w:noWrap/>
          </w:tcPr>
          <w:p w:rsidR="00E74274" w:rsidRPr="00E42F04" w:rsidRDefault="00E74274" w:rsidP="00D77A6B">
            <w:pPr>
              <w:cnfStyle w:val="000000100000"/>
              <w:rPr>
                <w:sz w:val="22"/>
                <w:szCs w:val="22"/>
              </w:rPr>
            </w:pPr>
            <w:r w:rsidRPr="00E42F04">
              <w:rPr>
                <w:sz w:val="22"/>
                <w:szCs w:val="22"/>
              </w:rPr>
              <w:t xml:space="preserve">       2.2.2.В</w:t>
            </w:r>
            <w:r w:rsidR="00E42F04" w:rsidRPr="00E42F04">
              <w:rPr>
                <w:sz w:val="22"/>
                <w:szCs w:val="22"/>
              </w:rPr>
              <w:t>ывозная пошлина</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240,81</w:t>
            </w:r>
          </w:p>
        </w:tc>
        <w:tc>
          <w:tcPr>
            <w:tcW w:w="1011" w:type="dxa"/>
            <w:shd w:val="clear" w:color="auto" w:fill="auto"/>
            <w:noWrap/>
          </w:tcPr>
          <w:p w:rsidR="00E74274" w:rsidRPr="00E42F04" w:rsidRDefault="00E74274" w:rsidP="00D77A6B">
            <w:pPr>
              <w:jc w:val="center"/>
              <w:cnfStyle w:val="000000100000"/>
              <w:rPr>
                <w:sz w:val="22"/>
                <w:szCs w:val="22"/>
              </w:rPr>
            </w:pPr>
            <w:r w:rsidRPr="00E42F04">
              <w:rPr>
                <w:sz w:val="22"/>
                <w:szCs w:val="22"/>
              </w:rPr>
              <w:t>663,43</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991,21</w:t>
            </w:r>
          </w:p>
        </w:tc>
        <w:tc>
          <w:tcPr>
            <w:tcW w:w="1011" w:type="dxa"/>
            <w:shd w:val="clear" w:color="auto" w:fill="auto"/>
            <w:noWrap/>
          </w:tcPr>
          <w:p w:rsidR="00E74274" w:rsidRPr="00E42F04" w:rsidRDefault="00E74274" w:rsidP="00D77A6B">
            <w:pPr>
              <w:jc w:val="center"/>
              <w:cnfStyle w:val="000000100000"/>
              <w:rPr>
                <w:sz w:val="22"/>
                <w:szCs w:val="22"/>
              </w:rPr>
            </w:pPr>
            <w:r w:rsidRPr="00E42F04">
              <w:rPr>
                <w:sz w:val="22"/>
                <w:szCs w:val="22"/>
              </w:rPr>
              <w:t>918,99</w:t>
            </w:r>
          </w:p>
        </w:tc>
        <w:tc>
          <w:tcPr>
            <w:cnfStyle w:val="000010000000"/>
            <w:tcW w:w="1011" w:type="dxa"/>
            <w:shd w:val="clear" w:color="auto" w:fill="auto"/>
            <w:noWrap/>
          </w:tcPr>
          <w:p w:rsidR="00E74274" w:rsidRPr="00E42F04" w:rsidRDefault="00E74274" w:rsidP="00D77A6B">
            <w:pPr>
              <w:jc w:val="center"/>
              <w:rPr>
                <w:sz w:val="22"/>
                <w:szCs w:val="22"/>
              </w:rPr>
            </w:pPr>
            <w:r w:rsidRPr="00E42F04">
              <w:rPr>
                <w:sz w:val="22"/>
                <w:szCs w:val="22"/>
              </w:rPr>
              <w:t>2 814,44</w:t>
            </w:r>
          </w:p>
        </w:tc>
      </w:tr>
      <w:tr w:rsidR="00E74274" w:rsidRPr="00E42F04" w:rsidTr="009251DC">
        <w:trPr>
          <w:cnfStyle w:val="000000010000"/>
          <w:trHeight w:val="255"/>
        </w:trPr>
        <w:tc>
          <w:tcPr>
            <w:cnfStyle w:val="000010000000"/>
            <w:tcW w:w="392" w:type="dxa"/>
            <w:shd w:val="clear" w:color="auto" w:fill="auto"/>
            <w:noWrap/>
          </w:tcPr>
          <w:p w:rsidR="00E74274" w:rsidRPr="00E42F04" w:rsidRDefault="00E74274" w:rsidP="00D77A6B">
            <w:pPr>
              <w:jc w:val="center"/>
              <w:rPr>
                <w:sz w:val="22"/>
                <w:szCs w:val="22"/>
              </w:rPr>
            </w:pPr>
          </w:p>
        </w:tc>
        <w:tc>
          <w:tcPr>
            <w:tcW w:w="3628" w:type="dxa"/>
            <w:shd w:val="clear" w:color="auto" w:fill="auto"/>
            <w:noWrap/>
          </w:tcPr>
          <w:p w:rsidR="00E74274" w:rsidRPr="00E42F04" w:rsidRDefault="00E74274" w:rsidP="00E42F04">
            <w:pPr>
              <w:cnfStyle w:val="000000010000"/>
              <w:rPr>
                <w:sz w:val="22"/>
                <w:szCs w:val="22"/>
              </w:rPr>
            </w:pPr>
            <w:r w:rsidRPr="00E42F04">
              <w:rPr>
                <w:sz w:val="22"/>
                <w:szCs w:val="22"/>
              </w:rPr>
              <w:t>2.3.</w:t>
            </w:r>
            <w:r w:rsidR="00E42F04" w:rsidRPr="00E42F04">
              <w:rPr>
                <w:sz w:val="22"/>
                <w:szCs w:val="22"/>
              </w:rPr>
              <w:t>Процентный доход</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w:t>
            </w:r>
          </w:p>
        </w:tc>
        <w:tc>
          <w:tcPr>
            <w:tcW w:w="1011" w:type="dxa"/>
            <w:shd w:val="clear" w:color="auto" w:fill="auto"/>
            <w:noWrap/>
          </w:tcPr>
          <w:p w:rsidR="00E74274" w:rsidRPr="00E42F04" w:rsidRDefault="00E74274" w:rsidP="00D77A6B">
            <w:pPr>
              <w:jc w:val="center"/>
              <w:cnfStyle w:val="000000010000"/>
              <w:rPr>
                <w:sz w:val="22"/>
                <w:szCs w:val="22"/>
              </w:rPr>
            </w:pPr>
            <w:r w:rsidRPr="00E42F04">
              <w:rPr>
                <w:sz w:val="22"/>
                <w:szCs w:val="22"/>
              </w:rPr>
              <w:t>-</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22,99</w:t>
            </w:r>
          </w:p>
        </w:tc>
        <w:tc>
          <w:tcPr>
            <w:tcW w:w="1011" w:type="dxa"/>
            <w:shd w:val="clear" w:color="auto" w:fill="auto"/>
            <w:noWrap/>
          </w:tcPr>
          <w:p w:rsidR="00E74274" w:rsidRPr="00E42F04" w:rsidRDefault="00E74274" w:rsidP="00D77A6B">
            <w:pPr>
              <w:jc w:val="center"/>
              <w:cnfStyle w:val="000000010000"/>
              <w:rPr>
                <w:sz w:val="22"/>
                <w:szCs w:val="22"/>
              </w:rPr>
            </w:pPr>
            <w:r w:rsidRPr="00E42F04">
              <w:rPr>
                <w:sz w:val="22"/>
                <w:szCs w:val="22"/>
              </w:rPr>
              <w:t>151,89</w:t>
            </w:r>
          </w:p>
        </w:tc>
        <w:tc>
          <w:tcPr>
            <w:cnfStyle w:val="000010000000"/>
            <w:tcW w:w="1011" w:type="dxa"/>
            <w:shd w:val="clear" w:color="auto" w:fill="auto"/>
            <w:noWrap/>
          </w:tcPr>
          <w:p w:rsidR="00E74274" w:rsidRPr="00E42F04" w:rsidRDefault="00E74274" w:rsidP="00D77A6B">
            <w:pPr>
              <w:jc w:val="center"/>
              <w:rPr>
                <w:sz w:val="22"/>
                <w:szCs w:val="22"/>
              </w:rPr>
            </w:pPr>
            <w:r w:rsidRPr="00E42F04">
              <w:rPr>
                <w:sz w:val="22"/>
                <w:szCs w:val="22"/>
              </w:rPr>
              <w:t>174,88</w:t>
            </w:r>
          </w:p>
        </w:tc>
      </w:tr>
      <w:tr w:rsidR="00E74274" w:rsidRPr="00E42F04" w:rsidTr="009251DC">
        <w:trPr>
          <w:cnfStyle w:val="000000100000"/>
          <w:trHeight w:val="255"/>
        </w:trPr>
        <w:tc>
          <w:tcPr>
            <w:cnfStyle w:val="000010000000"/>
            <w:tcW w:w="392" w:type="dxa"/>
            <w:noWrap/>
          </w:tcPr>
          <w:p w:rsidR="00E74274" w:rsidRPr="00E42F04" w:rsidRDefault="00E74274" w:rsidP="00D77A6B">
            <w:pPr>
              <w:jc w:val="center"/>
              <w:rPr>
                <w:b/>
                <w:bCs/>
                <w:sz w:val="22"/>
                <w:szCs w:val="22"/>
              </w:rPr>
            </w:pPr>
            <w:r w:rsidRPr="00E42F04">
              <w:rPr>
                <w:b/>
                <w:bCs/>
                <w:sz w:val="22"/>
                <w:szCs w:val="22"/>
              </w:rPr>
              <w:t>3</w:t>
            </w:r>
          </w:p>
        </w:tc>
        <w:tc>
          <w:tcPr>
            <w:tcW w:w="3628" w:type="dxa"/>
            <w:noWrap/>
          </w:tcPr>
          <w:p w:rsidR="00E74274" w:rsidRPr="00E42F04" w:rsidRDefault="00E74274" w:rsidP="00D77A6B">
            <w:pPr>
              <w:cnfStyle w:val="000000100000"/>
              <w:rPr>
                <w:b/>
                <w:bCs/>
                <w:sz w:val="22"/>
                <w:szCs w:val="22"/>
              </w:rPr>
            </w:pPr>
            <w:r w:rsidRPr="00E42F04">
              <w:rPr>
                <w:b/>
                <w:bCs/>
                <w:sz w:val="22"/>
                <w:szCs w:val="22"/>
              </w:rPr>
              <w:t>Уменьшение Стабфонда</w:t>
            </w:r>
          </w:p>
        </w:tc>
        <w:tc>
          <w:tcPr>
            <w:cnfStyle w:val="000010000000"/>
            <w:tcW w:w="1010" w:type="dxa"/>
            <w:noWrap/>
          </w:tcPr>
          <w:p w:rsidR="00E74274" w:rsidRPr="00E42F04" w:rsidRDefault="00E74274" w:rsidP="00D77A6B">
            <w:pPr>
              <w:jc w:val="center"/>
              <w:rPr>
                <w:sz w:val="22"/>
                <w:szCs w:val="22"/>
              </w:rPr>
            </w:pPr>
            <w:r w:rsidRPr="00E42F04">
              <w:rPr>
                <w:sz w:val="22"/>
                <w:szCs w:val="22"/>
              </w:rPr>
              <w:t>-</w:t>
            </w:r>
          </w:p>
        </w:tc>
        <w:tc>
          <w:tcPr>
            <w:tcW w:w="1011" w:type="dxa"/>
            <w:noWrap/>
          </w:tcPr>
          <w:p w:rsidR="00E74274" w:rsidRPr="00E42F04" w:rsidRDefault="00E74274" w:rsidP="00D77A6B">
            <w:pPr>
              <w:jc w:val="center"/>
              <w:cnfStyle w:val="000000100000"/>
              <w:rPr>
                <w:sz w:val="22"/>
                <w:szCs w:val="22"/>
              </w:rPr>
            </w:pPr>
            <w:r w:rsidRPr="00E42F04">
              <w:rPr>
                <w:sz w:val="22"/>
                <w:szCs w:val="22"/>
              </w:rPr>
              <w:t>673,05</w:t>
            </w:r>
          </w:p>
        </w:tc>
        <w:tc>
          <w:tcPr>
            <w:cnfStyle w:val="000010000000"/>
            <w:tcW w:w="1010" w:type="dxa"/>
            <w:noWrap/>
          </w:tcPr>
          <w:p w:rsidR="00E74274" w:rsidRPr="00E42F04" w:rsidRDefault="00E74274" w:rsidP="00D77A6B">
            <w:pPr>
              <w:jc w:val="center"/>
              <w:rPr>
                <w:sz w:val="22"/>
                <w:szCs w:val="22"/>
              </w:rPr>
            </w:pPr>
            <w:r w:rsidRPr="00E42F04">
              <w:rPr>
                <w:sz w:val="22"/>
                <w:szCs w:val="22"/>
              </w:rPr>
              <w:t>604,72</w:t>
            </w:r>
          </w:p>
        </w:tc>
        <w:tc>
          <w:tcPr>
            <w:tcW w:w="1011" w:type="dxa"/>
            <w:noWrap/>
          </w:tcPr>
          <w:p w:rsidR="00E74274" w:rsidRPr="00E42F04" w:rsidRDefault="00E74274" w:rsidP="00D77A6B">
            <w:pPr>
              <w:jc w:val="center"/>
              <w:cnfStyle w:val="000000100000"/>
              <w:rPr>
                <w:sz w:val="22"/>
                <w:szCs w:val="22"/>
              </w:rPr>
            </w:pPr>
            <w:r w:rsidRPr="00E42F04">
              <w:rPr>
                <w:sz w:val="22"/>
                <w:szCs w:val="22"/>
              </w:rPr>
              <w:t>333,73</w:t>
            </w:r>
          </w:p>
        </w:tc>
        <w:tc>
          <w:tcPr>
            <w:cnfStyle w:val="000010000000"/>
            <w:tcW w:w="1011" w:type="dxa"/>
            <w:noWrap/>
          </w:tcPr>
          <w:p w:rsidR="00E74274" w:rsidRPr="00E42F04" w:rsidRDefault="00E74274" w:rsidP="00D77A6B">
            <w:pPr>
              <w:jc w:val="center"/>
              <w:rPr>
                <w:sz w:val="22"/>
                <w:szCs w:val="22"/>
              </w:rPr>
            </w:pPr>
            <w:r w:rsidRPr="00E42F04">
              <w:rPr>
                <w:sz w:val="22"/>
                <w:szCs w:val="22"/>
              </w:rPr>
              <w:t>1 611,50</w:t>
            </w:r>
          </w:p>
        </w:tc>
      </w:tr>
      <w:tr w:rsidR="00E74274" w:rsidRPr="00E42F04" w:rsidTr="009251DC">
        <w:trPr>
          <w:cnfStyle w:val="000000010000"/>
          <w:trHeight w:val="255"/>
        </w:trPr>
        <w:tc>
          <w:tcPr>
            <w:cnfStyle w:val="000010000000"/>
            <w:tcW w:w="392" w:type="dxa"/>
            <w:shd w:val="clear" w:color="auto" w:fill="auto"/>
            <w:noWrap/>
          </w:tcPr>
          <w:p w:rsidR="00E74274" w:rsidRPr="00E42F04" w:rsidRDefault="00E74274" w:rsidP="00D77A6B">
            <w:pPr>
              <w:jc w:val="center"/>
              <w:rPr>
                <w:sz w:val="22"/>
                <w:szCs w:val="22"/>
              </w:rPr>
            </w:pPr>
          </w:p>
        </w:tc>
        <w:tc>
          <w:tcPr>
            <w:tcW w:w="3628" w:type="dxa"/>
            <w:shd w:val="clear" w:color="auto" w:fill="auto"/>
            <w:noWrap/>
          </w:tcPr>
          <w:p w:rsidR="00E74274" w:rsidRPr="00E42F04" w:rsidRDefault="00E74274" w:rsidP="00E42F04">
            <w:pPr>
              <w:cnfStyle w:val="000000010000"/>
              <w:rPr>
                <w:sz w:val="22"/>
                <w:szCs w:val="22"/>
              </w:rPr>
            </w:pPr>
            <w:r w:rsidRPr="00E42F04">
              <w:rPr>
                <w:sz w:val="22"/>
                <w:szCs w:val="22"/>
              </w:rPr>
              <w:t>3.1.П</w:t>
            </w:r>
            <w:r w:rsidR="00E42F04" w:rsidRPr="00E42F04">
              <w:rPr>
                <w:sz w:val="22"/>
                <w:szCs w:val="22"/>
              </w:rPr>
              <w:t>огашение внешнего долга</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w:t>
            </w:r>
          </w:p>
        </w:tc>
        <w:tc>
          <w:tcPr>
            <w:tcW w:w="1011" w:type="dxa"/>
            <w:shd w:val="clear" w:color="auto" w:fill="auto"/>
            <w:noWrap/>
          </w:tcPr>
          <w:p w:rsidR="00E74274" w:rsidRPr="00E42F04" w:rsidRDefault="00E74274" w:rsidP="00D77A6B">
            <w:pPr>
              <w:jc w:val="center"/>
              <w:cnfStyle w:val="000000010000"/>
              <w:rPr>
                <w:sz w:val="22"/>
                <w:szCs w:val="22"/>
              </w:rPr>
            </w:pPr>
            <w:r w:rsidRPr="00E42F04">
              <w:rPr>
                <w:sz w:val="22"/>
                <w:szCs w:val="22"/>
              </w:rPr>
              <w:t>643,05</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604,72</w:t>
            </w:r>
          </w:p>
        </w:tc>
        <w:tc>
          <w:tcPr>
            <w:tcW w:w="1011" w:type="dxa"/>
            <w:shd w:val="clear" w:color="auto" w:fill="auto"/>
            <w:noWrap/>
          </w:tcPr>
          <w:p w:rsidR="00E74274" w:rsidRPr="00E42F04" w:rsidRDefault="00E74274" w:rsidP="00D77A6B">
            <w:pPr>
              <w:jc w:val="center"/>
              <w:cnfStyle w:val="000000010000"/>
              <w:rPr>
                <w:sz w:val="22"/>
                <w:szCs w:val="22"/>
              </w:rPr>
            </w:pPr>
            <w:r w:rsidRPr="00E42F04">
              <w:rPr>
                <w:sz w:val="22"/>
                <w:szCs w:val="22"/>
              </w:rPr>
              <w:t>33,73</w:t>
            </w:r>
          </w:p>
        </w:tc>
        <w:tc>
          <w:tcPr>
            <w:cnfStyle w:val="000010000000"/>
            <w:tcW w:w="1011" w:type="dxa"/>
            <w:shd w:val="clear" w:color="auto" w:fill="auto"/>
            <w:noWrap/>
          </w:tcPr>
          <w:p w:rsidR="00E74274" w:rsidRPr="00E42F04" w:rsidRDefault="00E74274" w:rsidP="00D77A6B">
            <w:pPr>
              <w:jc w:val="center"/>
              <w:rPr>
                <w:sz w:val="22"/>
                <w:szCs w:val="22"/>
              </w:rPr>
            </w:pPr>
            <w:r w:rsidRPr="00E42F04">
              <w:rPr>
                <w:sz w:val="22"/>
                <w:szCs w:val="22"/>
              </w:rPr>
              <w:t>1 281,50</w:t>
            </w:r>
          </w:p>
        </w:tc>
      </w:tr>
      <w:tr w:rsidR="00E74274" w:rsidRPr="00E42F04" w:rsidTr="009251DC">
        <w:trPr>
          <w:cnfStyle w:val="000000100000"/>
          <w:trHeight w:val="255"/>
        </w:trPr>
        <w:tc>
          <w:tcPr>
            <w:cnfStyle w:val="000010000000"/>
            <w:tcW w:w="392" w:type="dxa"/>
            <w:shd w:val="clear" w:color="auto" w:fill="auto"/>
            <w:noWrap/>
          </w:tcPr>
          <w:p w:rsidR="00E74274" w:rsidRPr="00E42F04" w:rsidRDefault="00E74274" w:rsidP="00D77A6B">
            <w:pPr>
              <w:jc w:val="center"/>
              <w:rPr>
                <w:sz w:val="22"/>
                <w:szCs w:val="22"/>
              </w:rPr>
            </w:pPr>
          </w:p>
        </w:tc>
        <w:tc>
          <w:tcPr>
            <w:tcW w:w="3628" w:type="dxa"/>
            <w:shd w:val="clear" w:color="auto" w:fill="auto"/>
            <w:noWrap/>
          </w:tcPr>
          <w:p w:rsidR="00E74274" w:rsidRPr="00E42F04" w:rsidRDefault="00E74274" w:rsidP="00E42F04">
            <w:pPr>
              <w:cnfStyle w:val="000000100000"/>
              <w:rPr>
                <w:sz w:val="22"/>
                <w:szCs w:val="22"/>
              </w:rPr>
            </w:pPr>
            <w:r w:rsidRPr="00E42F04">
              <w:rPr>
                <w:sz w:val="22"/>
                <w:szCs w:val="22"/>
              </w:rPr>
              <w:t>3.2.П</w:t>
            </w:r>
            <w:r w:rsidR="00E42F04" w:rsidRPr="00E42F04">
              <w:rPr>
                <w:sz w:val="22"/>
                <w:szCs w:val="22"/>
              </w:rPr>
              <w:t>енсионный фонд</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w:t>
            </w:r>
          </w:p>
        </w:tc>
        <w:tc>
          <w:tcPr>
            <w:tcW w:w="1011" w:type="dxa"/>
            <w:shd w:val="clear" w:color="auto" w:fill="auto"/>
            <w:noWrap/>
          </w:tcPr>
          <w:p w:rsidR="00E74274" w:rsidRPr="00E42F04" w:rsidRDefault="00E74274" w:rsidP="00D77A6B">
            <w:pPr>
              <w:jc w:val="center"/>
              <w:cnfStyle w:val="000000100000"/>
              <w:rPr>
                <w:sz w:val="22"/>
                <w:szCs w:val="22"/>
              </w:rPr>
            </w:pPr>
            <w:r w:rsidRPr="00E42F04">
              <w:rPr>
                <w:sz w:val="22"/>
                <w:szCs w:val="22"/>
              </w:rPr>
              <w:t>30,00</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w:t>
            </w:r>
          </w:p>
        </w:tc>
        <w:tc>
          <w:tcPr>
            <w:tcW w:w="1011" w:type="dxa"/>
            <w:shd w:val="clear" w:color="auto" w:fill="auto"/>
            <w:noWrap/>
          </w:tcPr>
          <w:p w:rsidR="00E74274" w:rsidRPr="00E42F04" w:rsidRDefault="00E74274" w:rsidP="00D77A6B">
            <w:pPr>
              <w:jc w:val="center"/>
              <w:cnfStyle w:val="000000100000"/>
              <w:rPr>
                <w:sz w:val="22"/>
                <w:szCs w:val="22"/>
              </w:rPr>
            </w:pPr>
            <w:r w:rsidRPr="00E42F04">
              <w:rPr>
                <w:sz w:val="22"/>
                <w:szCs w:val="22"/>
              </w:rPr>
              <w:t>-</w:t>
            </w:r>
          </w:p>
        </w:tc>
        <w:tc>
          <w:tcPr>
            <w:cnfStyle w:val="000010000000"/>
            <w:tcW w:w="1011" w:type="dxa"/>
            <w:shd w:val="clear" w:color="auto" w:fill="auto"/>
            <w:noWrap/>
          </w:tcPr>
          <w:p w:rsidR="00E74274" w:rsidRPr="00E42F04" w:rsidRDefault="00E74274" w:rsidP="00D77A6B">
            <w:pPr>
              <w:jc w:val="center"/>
              <w:rPr>
                <w:sz w:val="22"/>
                <w:szCs w:val="22"/>
              </w:rPr>
            </w:pPr>
            <w:r w:rsidRPr="00E42F04">
              <w:rPr>
                <w:sz w:val="22"/>
                <w:szCs w:val="22"/>
              </w:rPr>
              <w:t>30,00</w:t>
            </w:r>
          </w:p>
        </w:tc>
      </w:tr>
      <w:tr w:rsidR="00E74274" w:rsidRPr="00E42F04" w:rsidTr="009251DC">
        <w:trPr>
          <w:cnfStyle w:val="000000010000"/>
          <w:trHeight w:val="255"/>
        </w:trPr>
        <w:tc>
          <w:tcPr>
            <w:cnfStyle w:val="000010000000"/>
            <w:tcW w:w="392" w:type="dxa"/>
            <w:shd w:val="clear" w:color="auto" w:fill="auto"/>
            <w:noWrap/>
          </w:tcPr>
          <w:p w:rsidR="00E74274" w:rsidRPr="00E42F04" w:rsidRDefault="00E74274" w:rsidP="00D77A6B">
            <w:pPr>
              <w:jc w:val="center"/>
              <w:rPr>
                <w:sz w:val="22"/>
                <w:szCs w:val="22"/>
              </w:rPr>
            </w:pPr>
          </w:p>
        </w:tc>
        <w:tc>
          <w:tcPr>
            <w:tcW w:w="3628" w:type="dxa"/>
            <w:shd w:val="clear" w:color="auto" w:fill="auto"/>
            <w:noWrap/>
          </w:tcPr>
          <w:p w:rsidR="00E74274" w:rsidRPr="00E42F04" w:rsidRDefault="00E74274" w:rsidP="00E42F04">
            <w:pPr>
              <w:cnfStyle w:val="000000010000"/>
              <w:rPr>
                <w:sz w:val="22"/>
                <w:szCs w:val="22"/>
              </w:rPr>
            </w:pPr>
            <w:r w:rsidRPr="00E42F04">
              <w:rPr>
                <w:sz w:val="22"/>
                <w:szCs w:val="22"/>
              </w:rPr>
              <w:t>3.3.Н</w:t>
            </w:r>
            <w:r w:rsidR="00E42F04" w:rsidRPr="00E42F04">
              <w:rPr>
                <w:sz w:val="22"/>
                <w:szCs w:val="22"/>
              </w:rPr>
              <w:t>анотехнологии</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w:t>
            </w:r>
          </w:p>
        </w:tc>
        <w:tc>
          <w:tcPr>
            <w:tcW w:w="1011" w:type="dxa"/>
            <w:shd w:val="clear" w:color="auto" w:fill="auto"/>
            <w:noWrap/>
          </w:tcPr>
          <w:p w:rsidR="00E74274" w:rsidRPr="00E42F04" w:rsidRDefault="00E74274" w:rsidP="00D77A6B">
            <w:pPr>
              <w:jc w:val="center"/>
              <w:cnfStyle w:val="000000010000"/>
              <w:rPr>
                <w:sz w:val="22"/>
                <w:szCs w:val="22"/>
              </w:rPr>
            </w:pPr>
            <w:r w:rsidRPr="00E42F04">
              <w:rPr>
                <w:sz w:val="22"/>
                <w:szCs w:val="22"/>
              </w:rPr>
              <w:t>-</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w:t>
            </w:r>
          </w:p>
        </w:tc>
        <w:tc>
          <w:tcPr>
            <w:tcW w:w="1011" w:type="dxa"/>
            <w:shd w:val="clear" w:color="auto" w:fill="auto"/>
            <w:noWrap/>
          </w:tcPr>
          <w:p w:rsidR="00E74274" w:rsidRPr="00E42F04" w:rsidRDefault="00E74274" w:rsidP="00D77A6B">
            <w:pPr>
              <w:jc w:val="center"/>
              <w:cnfStyle w:val="000000010000"/>
              <w:rPr>
                <w:sz w:val="22"/>
                <w:szCs w:val="22"/>
              </w:rPr>
            </w:pPr>
            <w:r w:rsidRPr="00E42F04">
              <w:rPr>
                <w:sz w:val="22"/>
                <w:szCs w:val="22"/>
              </w:rPr>
              <w:t>30,00</w:t>
            </w:r>
          </w:p>
        </w:tc>
        <w:tc>
          <w:tcPr>
            <w:cnfStyle w:val="000010000000"/>
            <w:tcW w:w="1011" w:type="dxa"/>
            <w:shd w:val="clear" w:color="auto" w:fill="auto"/>
            <w:noWrap/>
          </w:tcPr>
          <w:p w:rsidR="00E74274" w:rsidRPr="00E42F04" w:rsidRDefault="00E74274" w:rsidP="00D77A6B">
            <w:pPr>
              <w:jc w:val="center"/>
              <w:rPr>
                <w:sz w:val="22"/>
                <w:szCs w:val="22"/>
              </w:rPr>
            </w:pPr>
            <w:r w:rsidRPr="00E42F04">
              <w:rPr>
                <w:sz w:val="22"/>
                <w:szCs w:val="22"/>
              </w:rPr>
              <w:t>30,00</w:t>
            </w:r>
          </w:p>
        </w:tc>
      </w:tr>
      <w:tr w:rsidR="00E74274" w:rsidRPr="00E42F04" w:rsidTr="009251DC">
        <w:trPr>
          <w:cnfStyle w:val="000000100000"/>
          <w:trHeight w:val="255"/>
        </w:trPr>
        <w:tc>
          <w:tcPr>
            <w:cnfStyle w:val="000010000000"/>
            <w:tcW w:w="392" w:type="dxa"/>
            <w:shd w:val="clear" w:color="auto" w:fill="auto"/>
            <w:noWrap/>
          </w:tcPr>
          <w:p w:rsidR="00E74274" w:rsidRPr="00E42F04" w:rsidRDefault="00E74274" w:rsidP="00D77A6B">
            <w:pPr>
              <w:jc w:val="center"/>
              <w:rPr>
                <w:sz w:val="22"/>
                <w:szCs w:val="22"/>
              </w:rPr>
            </w:pPr>
          </w:p>
        </w:tc>
        <w:tc>
          <w:tcPr>
            <w:tcW w:w="3628" w:type="dxa"/>
            <w:shd w:val="clear" w:color="auto" w:fill="auto"/>
            <w:noWrap/>
          </w:tcPr>
          <w:p w:rsidR="00E74274" w:rsidRPr="00E42F04" w:rsidRDefault="00E74274" w:rsidP="00D77A6B">
            <w:pPr>
              <w:cnfStyle w:val="000000100000"/>
              <w:rPr>
                <w:sz w:val="22"/>
                <w:szCs w:val="22"/>
              </w:rPr>
            </w:pPr>
            <w:r w:rsidRPr="00E42F04">
              <w:rPr>
                <w:sz w:val="22"/>
                <w:szCs w:val="22"/>
              </w:rPr>
              <w:t>3.4.ВЭБ</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w:t>
            </w:r>
          </w:p>
        </w:tc>
        <w:tc>
          <w:tcPr>
            <w:tcW w:w="1011" w:type="dxa"/>
            <w:shd w:val="clear" w:color="auto" w:fill="auto"/>
            <w:noWrap/>
          </w:tcPr>
          <w:p w:rsidR="00E74274" w:rsidRPr="00E42F04" w:rsidRDefault="00E74274" w:rsidP="00D77A6B">
            <w:pPr>
              <w:jc w:val="center"/>
              <w:cnfStyle w:val="000000100000"/>
              <w:rPr>
                <w:sz w:val="22"/>
                <w:szCs w:val="22"/>
              </w:rPr>
            </w:pPr>
            <w:r w:rsidRPr="00E42F04">
              <w:rPr>
                <w:sz w:val="22"/>
                <w:szCs w:val="22"/>
              </w:rPr>
              <w:t>-</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w:t>
            </w:r>
          </w:p>
        </w:tc>
        <w:tc>
          <w:tcPr>
            <w:tcW w:w="1011" w:type="dxa"/>
            <w:shd w:val="clear" w:color="auto" w:fill="auto"/>
            <w:noWrap/>
          </w:tcPr>
          <w:p w:rsidR="00E74274" w:rsidRPr="00E42F04" w:rsidRDefault="00E74274" w:rsidP="00D77A6B">
            <w:pPr>
              <w:jc w:val="center"/>
              <w:cnfStyle w:val="000000100000"/>
              <w:rPr>
                <w:sz w:val="22"/>
                <w:szCs w:val="22"/>
              </w:rPr>
            </w:pPr>
            <w:r w:rsidRPr="00E42F04">
              <w:rPr>
                <w:sz w:val="22"/>
                <w:szCs w:val="22"/>
              </w:rPr>
              <w:t>180,00</w:t>
            </w:r>
          </w:p>
        </w:tc>
        <w:tc>
          <w:tcPr>
            <w:cnfStyle w:val="000010000000"/>
            <w:tcW w:w="1011" w:type="dxa"/>
            <w:shd w:val="clear" w:color="auto" w:fill="auto"/>
            <w:noWrap/>
          </w:tcPr>
          <w:p w:rsidR="00E74274" w:rsidRPr="00E42F04" w:rsidRDefault="00E74274" w:rsidP="00D77A6B">
            <w:pPr>
              <w:jc w:val="center"/>
              <w:rPr>
                <w:sz w:val="22"/>
                <w:szCs w:val="22"/>
              </w:rPr>
            </w:pPr>
            <w:r w:rsidRPr="00E42F04">
              <w:rPr>
                <w:sz w:val="22"/>
                <w:szCs w:val="22"/>
              </w:rPr>
              <w:t>180,00</w:t>
            </w:r>
          </w:p>
        </w:tc>
      </w:tr>
      <w:tr w:rsidR="00E74274" w:rsidRPr="00E42F04" w:rsidTr="009251DC">
        <w:trPr>
          <w:cnfStyle w:val="000000010000"/>
          <w:trHeight w:val="255"/>
        </w:trPr>
        <w:tc>
          <w:tcPr>
            <w:cnfStyle w:val="000010000000"/>
            <w:tcW w:w="392" w:type="dxa"/>
            <w:shd w:val="clear" w:color="auto" w:fill="auto"/>
            <w:noWrap/>
          </w:tcPr>
          <w:p w:rsidR="00E74274" w:rsidRPr="00E42F04" w:rsidRDefault="00E74274" w:rsidP="00D77A6B">
            <w:pPr>
              <w:jc w:val="center"/>
              <w:rPr>
                <w:sz w:val="22"/>
                <w:szCs w:val="22"/>
              </w:rPr>
            </w:pPr>
          </w:p>
        </w:tc>
        <w:tc>
          <w:tcPr>
            <w:tcW w:w="3628" w:type="dxa"/>
            <w:shd w:val="clear" w:color="auto" w:fill="auto"/>
            <w:noWrap/>
          </w:tcPr>
          <w:p w:rsidR="00E74274" w:rsidRPr="00E42F04" w:rsidRDefault="00E74274" w:rsidP="00E42F04">
            <w:pPr>
              <w:cnfStyle w:val="000000010000"/>
              <w:rPr>
                <w:sz w:val="22"/>
                <w:szCs w:val="22"/>
              </w:rPr>
            </w:pPr>
            <w:r w:rsidRPr="00E42F04">
              <w:rPr>
                <w:sz w:val="22"/>
                <w:szCs w:val="22"/>
              </w:rPr>
              <w:t>3.5.И</w:t>
            </w:r>
            <w:r w:rsidR="00E42F04" w:rsidRPr="00E42F04">
              <w:rPr>
                <w:sz w:val="22"/>
                <w:szCs w:val="22"/>
              </w:rPr>
              <w:t>нветиционный фонд</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w:t>
            </w:r>
          </w:p>
        </w:tc>
        <w:tc>
          <w:tcPr>
            <w:tcW w:w="1011" w:type="dxa"/>
            <w:shd w:val="clear" w:color="auto" w:fill="auto"/>
            <w:noWrap/>
          </w:tcPr>
          <w:p w:rsidR="00E74274" w:rsidRPr="00E42F04" w:rsidRDefault="00E74274" w:rsidP="00D77A6B">
            <w:pPr>
              <w:jc w:val="center"/>
              <w:cnfStyle w:val="000000010000"/>
              <w:rPr>
                <w:sz w:val="22"/>
                <w:szCs w:val="22"/>
              </w:rPr>
            </w:pPr>
            <w:r w:rsidRPr="00E42F04">
              <w:rPr>
                <w:sz w:val="22"/>
                <w:szCs w:val="22"/>
              </w:rPr>
              <w:t>-</w:t>
            </w:r>
          </w:p>
        </w:tc>
        <w:tc>
          <w:tcPr>
            <w:cnfStyle w:val="000010000000"/>
            <w:tcW w:w="1010" w:type="dxa"/>
            <w:shd w:val="clear" w:color="auto" w:fill="auto"/>
            <w:noWrap/>
          </w:tcPr>
          <w:p w:rsidR="00E74274" w:rsidRPr="00E42F04" w:rsidRDefault="00E74274" w:rsidP="00D77A6B">
            <w:pPr>
              <w:jc w:val="center"/>
              <w:rPr>
                <w:sz w:val="22"/>
                <w:szCs w:val="22"/>
              </w:rPr>
            </w:pPr>
            <w:r w:rsidRPr="00E42F04">
              <w:rPr>
                <w:sz w:val="22"/>
                <w:szCs w:val="22"/>
              </w:rPr>
              <w:t>-</w:t>
            </w:r>
          </w:p>
        </w:tc>
        <w:tc>
          <w:tcPr>
            <w:tcW w:w="1011" w:type="dxa"/>
            <w:shd w:val="clear" w:color="auto" w:fill="auto"/>
            <w:noWrap/>
          </w:tcPr>
          <w:p w:rsidR="00E74274" w:rsidRPr="00E42F04" w:rsidRDefault="00E74274" w:rsidP="00D77A6B">
            <w:pPr>
              <w:jc w:val="center"/>
              <w:cnfStyle w:val="000000010000"/>
              <w:rPr>
                <w:sz w:val="22"/>
                <w:szCs w:val="22"/>
              </w:rPr>
            </w:pPr>
            <w:r w:rsidRPr="00E42F04">
              <w:rPr>
                <w:sz w:val="22"/>
                <w:szCs w:val="22"/>
              </w:rPr>
              <w:t>90,00</w:t>
            </w:r>
          </w:p>
        </w:tc>
        <w:tc>
          <w:tcPr>
            <w:cnfStyle w:val="000010000000"/>
            <w:tcW w:w="1011" w:type="dxa"/>
            <w:shd w:val="clear" w:color="auto" w:fill="auto"/>
            <w:noWrap/>
          </w:tcPr>
          <w:p w:rsidR="00E74274" w:rsidRPr="00E42F04" w:rsidRDefault="00E74274" w:rsidP="00D77A6B">
            <w:pPr>
              <w:jc w:val="center"/>
              <w:rPr>
                <w:sz w:val="22"/>
                <w:szCs w:val="22"/>
              </w:rPr>
            </w:pPr>
            <w:r w:rsidRPr="00E42F04">
              <w:rPr>
                <w:sz w:val="22"/>
                <w:szCs w:val="22"/>
              </w:rPr>
              <w:t>90,00</w:t>
            </w:r>
          </w:p>
        </w:tc>
      </w:tr>
      <w:tr w:rsidR="00E74274" w:rsidRPr="00E42F04" w:rsidTr="009251DC">
        <w:trPr>
          <w:cnfStyle w:val="000000100000"/>
          <w:trHeight w:val="255"/>
        </w:trPr>
        <w:tc>
          <w:tcPr>
            <w:cnfStyle w:val="000010000000"/>
            <w:tcW w:w="392" w:type="dxa"/>
            <w:noWrap/>
          </w:tcPr>
          <w:p w:rsidR="00E74274" w:rsidRPr="00E42F04" w:rsidRDefault="00E74274" w:rsidP="00D77A6B">
            <w:pPr>
              <w:jc w:val="center"/>
              <w:rPr>
                <w:b/>
                <w:bCs/>
                <w:sz w:val="22"/>
                <w:szCs w:val="22"/>
              </w:rPr>
            </w:pPr>
            <w:r w:rsidRPr="00E42F04">
              <w:rPr>
                <w:b/>
                <w:bCs/>
                <w:sz w:val="22"/>
                <w:szCs w:val="22"/>
              </w:rPr>
              <w:t>4</w:t>
            </w:r>
          </w:p>
        </w:tc>
        <w:tc>
          <w:tcPr>
            <w:tcW w:w="3628" w:type="dxa"/>
            <w:noWrap/>
          </w:tcPr>
          <w:p w:rsidR="00E74274" w:rsidRPr="00E42F04" w:rsidRDefault="00E74274" w:rsidP="00D77A6B">
            <w:pPr>
              <w:cnfStyle w:val="000000100000"/>
              <w:rPr>
                <w:b/>
                <w:bCs/>
                <w:sz w:val="22"/>
                <w:szCs w:val="22"/>
              </w:rPr>
            </w:pPr>
            <w:r w:rsidRPr="00E42F04">
              <w:rPr>
                <w:b/>
                <w:bCs/>
                <w:sz w:val="22"/>
                <w:szCs w:val="22"/>
              </w:rPr>
              <w:t>Результат за период</w:t>
            </w:r>
          </w:p>
        </w:tc>
        <w:tc>
          <w:tcPr>
            <w:cnfStyle w:val="000010000000"/>
            <w:tcW w:w="1010" w:type="dxa"/>
            <w:noWrap/>
          </w:tcPr>
          <w:p w:rsidR="00E74274" w:rsidRPr="00E42F04" w:rsidRDefault="00E74274" w:rsidP="00D77A6B">
            <w:pPr>
              <w:jc w:val="center"/>
              <w:rPr>
                <w:sz w:val="22"/>
                <w:szCs w:val="22"/>
              </w:rPr>
            </w:pPr>
            <w:r w:rsidRPr="00E42F04">
              <w:rPr>
                <w:sz w:val="22"/>
                <w:szCs w:val="22"/>
              </w:rPr>
              <w:t>522,27</w:t>
            </w:r>
          </w:p>
        </w:tc>
        <w:tc>
          <w:tcPr>
            <w:tcW w:w="1011" w:type="dxa"/>
            <w:noWrap/>
          </w:tcPr>
          <w:p w:rsidR="00E74274" w:rsidRPr="00E42F04" w:rsidRDefault="00E74274" w:rsidP="00D77A6B">
            <w:pPr>
              <w:jc w:val="center"/>
              <w:cnfStyle w:val="000000100000"/>
              <w:rPr>
                <w:sz w:val="22"/>
                <w:szCs w:val="22"/>
              </w:rPr>
            </w:pPr>
            <w:r w:rsidRPr="00E42F04">
              <w:rPr>
                <w:sz w:val="22"/>
                <w:szCs w:val="22"/>
              </w:rPr>
              <w:t>714,77</w:t>
            </w:r>
          </w:p>
        </w:tc>
        <w:tc>
          <w:tcPr>
            <w:cnfStyle w:val="000010000000"/>
            <w:tcW w:w="1010" w:type="dxa"/>
            <w:noWrap/>
          </w:tcPr>
          <w:p w:rsidR="00E74274" w:rsidRPr="00E42F04" w:rsidRDefault="00E74274" w:rsidP="00D77A6B">
            <w:pPr>
              <w:jc w:val="center"/>
              <w:rPr>
                <w:sz w:val="22"/>
                <w:szCs w:val="22"/>
              </w:rPr>
            </w:pPr>
            <w:r w:rsidRPr="00E42F04">
              <w:rPr>
                <w:sz w:val="22"/>
                <w:szCs w:val="22"/>
              </w:rPr>
              <w:t>1 103,91</w:t>
            </w:r>
          </w:p>
        </w:tc>
        <w:tc>
          <w:tcPr>
            <w:tcW w:w="1011" w:type="dxa"/>
            <w:noWrap/>
          </w:tcPr>
          <w:p w:rsidR="00E74274" w:rsidRPr="00E42F04" w:rsidRDefault="00E74274" w:rsidP="00D77A6B">
            <w:pPr>
              <w:jc w:val="center"/>
              <w:cnfStyle w:val="000000100000"/>
              <w:rPr>
                <w:sz w:val="22"/>
                <w:szCs w:val="22"/>
              </w:rPr>
            </w:pPr>
            <w:r w:rsidRPr="00E42F04">
              <w:rPr>
                <w:sz w:val="22"/>
                <w:szCs w:val="22"/>
              </w:rPr>
              <w:t>1 562,23</w:t>
            </w:r>
          </w:p>
        </w:tc>
        <w:tc>
          <w:tcPr>
            <w:cnfStyle w:val="000010000000"/>
            <w:tcW w:w="1011" w:type="dxa"/>
            <w:noWrap/>
          </w:tcPr>
          <w:p w:rsidR="00E74274" w:rsidRPr="00E42F04" w:rsidRDefault="00E74274" w:rsidP="00D77A6B">
            <w:pPr>
              <w:jc w:val="center"/>
              <w:rPr>
                <w:sz w:val="22"/>
                <w:szCs w:val="22"/>
              </w:rPr>
            </w:pPr>
            <w:r w:rsidRPr="00E42F04">
              <w:rPr>
                <w:sz w:val="22"/>
                <w:szCs w:val="22"/>
              </w:rPr>
              <w:t>3 903,18</w:t>
            </w:r>
          </w:p>
        </w:tc>
      </w:tr>
      <w:tr w:rsidR="00E74274" w:rsidRPr="00E42F04" w:rsidTr="009251DC">
        <w:trPr>
          <w:cnfStyle w:val="000000010000"/>
          <w:trHeight w:val="315"/>
        </w:trPr>
        <w:tc>
          <w:tcPr>
            <w:cnfStyle w:val="000010000000"/>
            <w:tcW w:w="392" w:type="dxa"/>
            <w:shd w:val="clear" w:color="auto" w:fill="DBE5F1" w:themeFill="accent1" w:themeFillTint="33"/>
            <w:noWrap/>
          </w:tcPr>
          <w:p w:rsidR="00E74274" w:rsidRPr="00E42F04" w:rsidRDefault="00E74274" w:rsidP="00D77A6B">
            <w:pPr>
              <w:jc w:val="center"/>
              <w:rPr>
                <w:b/>
                <w:bCs/>
                <w:sz w:val="22"/>
                <w:szCs w:val="22"/>
              </w:rPr>
            </w:pPr>
            <w:r w:rsidRPr="00E42F04">
              <w:rPr>
                <w:b/>
                <w:bCs/>
                <w:sz w:val="22"/>
                <w:szCs w:val="22"/>
              </w:rPr>
              <w:t>5</w:t>
            </w:r>
          </w:p>
        </w:tc>
        <w:tc>
          <w:tcPr>
            <w:tcW w:w="3628" w:type="dxa"/>
            <w:shd w:val="clear" w:color="auto" w:fill="DBE5F1" w:themeFill="accent1" w:themeFillTint="33"/>
            <w:noWrap/>
          </w:tcPr>
          <w:p w:rsidR="00E74274" w:rsidRPr="00E42F04" w:rsidRDefault="00E74274" w:rsidP="00D77A6B">
            <w:pPr>
              <w:cnfStyle w:val="000000010000"/>
              <w:rPr>
                <w:b/>
                <w:bCs/>
                <w:sz w:val="22"/>
                <w:szCs w:val="22"/>
              </w:rPr>
            </w:pPr>
            <w:r w:rsidRPr="00E42F04">
              <w:rPr>
                <w:b/>
                <w:bCs/>
                <w:sz w:val="22"/>
                <w:szCs w:val="22"/>
              </w:rPr>
              <w:t>Остатки на конец периода</w:t>
            </w:r>
          </w:p>
        </w:tc>
        <w:tc>
          <w:tcPr>
            <w:cnfStyle w:val="000010000000"/>
            <w:tcW w:w="1010" w:type="dxa"/>
            <w:shd w:val="clear" w:color="auto" w:fill="DBE5F1" w:themeFill="accent1" w:themeFillTint="33"/>
            <w:noWrap/>
          </w:tcPr>
          <w:p w:rsidR="00E74274" w:rsidRPr="00E42F04" w:rsidRDefault="00E74274" w:rsidP="00D77A6B">
            <w:pPr>
              <w:jc w:val="center"/>
              <w:rPr>
                <w:sz w:val="22"/>
                <w:szCs w:val="22"/>
              </w:rPr>
            </w:pPr>
            <w:r w:rsidRPr="00E42F04">
              <w:rPr>
                <w:sz w:val="22"/>
                <w:szCs w:val="22"/>
              </w:rPr>
              <w:t>522,27</w:t>
            </w:r>
          </w:p>
        </w:tc>
        <w:tc>
          <w:tcPr>
            <w:tcW w:w="1011" w:type="dxa"/>
            <w:shd w:val="clear" w:color="auto" w:fill="DBE5F1" w:themeFill="accent1" w:themeFillTint="33"/>
            <w:noWrap/>
          </w:tcPr>
          <w:p w:rsidR="00E74274" w:rsidRPr="00E42F04" w:rsidRDefault="00E74274" w:rsidP="00D77A6B">
            <w:pPr>
              <w:jc w:val="center"/>
              <w:cnfStyle w:val="000000010000"/>
              <w:rPr>
                <w:sz w:val="22"/>
                <w:szCs w:val="22"/>
              </w:rPr>
            </w:pPr>
            <w:r w:rsidRPr="00E42F04">
              <w:rPr>
                <w:sz w:val="22"/>
                <w:szCs w:val="22"/>
              </w:rPr>
              <w:t>1 237,03</w:t>
            </w:r>
          </w:p>
        </w:tc>
        <w:tc>
          <w:tcPr>
            <w:cnfStyle w:val="000010000000"/>
            <w:tcW w:w="1010" w:type="dxa"/>
            <w:shd w:val="clear" w:color="auto" w:fill="DBE5F1" w:themeFill="accent1" w:themeFillTint="33"/>
            <w:noWrap/>
          </w:tcPr>
          <w:p w:rsidR="00E74274" w:rsidRPr="00E42F04" w:rsidRDefault="00E74274" w:rsidP="00D77A6B">
            <w:pPr>
              <w:jc w:val="center"/>
              <w:rPr>
                <w:sz w:val="22"/>
                <w:szCs w:val="22"/>
              </w:rPr>
            </w:pPr>
            <w:r w:rsidRPr="00E42F04">
              <w:rPr>
                <w:sz w:val="22"/>
                <w:szCs w:val="22"/>
              </w:rPr>
              <w:t>2 346,92</w:t>
            </w:r>
          </w:p>
        </w:tc>
        <w:tc>
          <w:tcPr>
            <w:tcW w:w="1011" w:type="dxa"/>
            <w:shd w:val="clear" w:color="auto" w:fill="DBE5F1" w:themeFill="accent1" w:themeFillTint="33"/>
            <w:noWrap/>
          </w:tcPr>
          <w:p w:rsidR="00E74274" w:rsidRPr="00E42F04" w:rsidRDefault="00E74274" w:rsidP="00D77A6B">
            <w:pPr>
              <w:jc w:val="center"/>
              <w:cnfStyle w:val="000000010000"/>
              <w:rPr>
                <w:sz w:val="22"/>
                <w:szCs w:val="22"/>
              </w:rPr>
            </w:pPr>
            <w:r w:rsidRPr="00E42F04">
              <w:rPr>
                <w:sz w:val="22"/>
                <w:szCs w:val="22"/>
              </w:rPr>
              <w:t>3 849,11</w:t>
            </w:r>
          </w:p>
        </w:tc>
        <w:tc>
          <w:tcPr>
            <w:cnfStyle w:val="000010000000"/>
            <w:tcW w:w="1011" w:type="dxa"/>
            <w:shd w:val="clear" w:color="auto" w:fill="DBE5F1" w:themeFill="accent1" w:themeFillTint="33"/>
            <w:noWrap/>
          </w:tcPr>
          <w:p w:rsidR="00E74274" w:rsidRPr="00E42F04" w:rsidRDefault="00E74274" w:rsidP="00D77A6B">
            <w:pPr>
              <w:jc w:val="center"/>
              <w:rPr>
                <w:sz w:val="22"/>
                <w:szCs w:val="22"/>
              </w:rPr>
            </w:pPr>
            <w:r w:rsidRPr="00E42F04">
              <w:rPr>
                <w:sz w:val="22"/>
                <w:szCs w:val="22"/>
              </w:rPr>
              <w:t>3 849,11</w:t>
            </w:r>
          </w:p>
        </w:tc>
      </w:tr>
    </w:tbl>
    <w:p w:rsidR="00E74274" w:rsidRPr="00707363" w:rsidRDefault="00E74274" w:rsidP="00962186">
      <w:pPr>
        <w:spacing w:after="0" w:line="240" w:lineRule="auto"/>
        <w:rPr>
          <w:rStyle w:val="af8"/>
        </w:rPr>
      </w:pPr>
      <w:r w:rsidRPr="00707363">
        <w:rPr>
          <w:rStyle w:val="af8"/>
        </w:rPr>
        <w:t>Источник: Федеральное Казначейство</w:t>
      </w:r>
      <w:r w:rsidR="00C95D2D" w:rsidRPr="00707363">
        <w:rPr>
          <w:rStyle w:val="af8"/>
        </w:rPr>
        <w:t>, Све</w:t>
      </w:r>
      <w:r w:rsidR="00962186" w:rsidRPr="00707363">
        <w:rPr>
          <w:rStyle w:val="af8"/>
        </w:rPr>
        <w:t>дения о движении средств Стабилизационного фонда Российской Федерации в 2004-2007 годах</w:t>
      </w:r>
    </w:p>
    <w:p w:rsidR="00962186" w:rsidRPr="00985D29" w:rsidRDefault="00962186" w:rsidP="00962186">
      <w:pPr>
        <w:spacing w:after="0" w:line="240" w:lineRule="auto"/>
        <w:rPr>
          <w:i/>
          <w:sz w:val="26"/>
          <w:szCs w:val="26"/>
        </w:rPr>
      </w:pPr>
    </w:p>
    <w:p w:rsidR="00222D70" w:rsidRPr="006F579C" w:rsidRDefault="00E74274" w:rsidP="002F4055">
      <w:pPr>
        <w:spacing w:after="0" w:line="360" w:lineRule="auto"/>
        <w:ind w:firstLine="851"/>
        <w:jc w:val="both"/>
        <w:rPr>
          <w:sz w:val="28"/>
          <w:szCs w:val="28"/>
        </w:rPr>
      </w:pPr>
      <w:r w:rsidRPr="006F579C">
        <w:rPr>
          <w:sz w:val="28"/>
          <w:szCs w:val="28"/>
        </w:rPr>
        <w:t xml:space="preserve">В целом, говоря о Стабилизационном фонде РФ в период </w:t>
      </w:r>
      <w:r w:rsidR="00CD34EC" w:rsidRPr="006F579C">
        <w:rPr>
          <w:sz w:val="28"/>
          <w:szCs w:val="28"/>
        </w:rPr>
        <w:t xml:space="preserve">его существования </w:t>
      </w:r>
      <w:r w:rsidRPr="006F579C">
        <w:rPr>
          <w:sz w:val="28"/>
          <w:szCs w:val="28"/>
        </w:rPr>
        <w:t xml:space="preserve">с </w:t>
      </w:r>
      <w:smartTag w:uri="urn:schemas-microsoft-com:office:smarttags" w:element="metricconverter">
        <w:smartTagPr>
          <w:attr w:name="ProductID" w:val="2004 г"/>
        </w:smartTagPr>
        <w:r w:rsidRPr="006F579C">
          <w:rPr>
            <w:sz w:val="28"/>
            <w:szCs w:val="28"/>
          </w:rPr>
          <w:t>2004 г</w:t>
        </w:r>
      </w:smartTag>
      <w:r w:rsidRPr="006F579C">
        <w:rPr>
          <w:sz w:val="28"/>
          <w:szCs w:val="28"/>
        </w:rPr>
        <w:t xml:space="preserve">. по </w:t>
      </w:r>
      <w:smartTag w:uri="urn:schemas-microsoft-com:office:smarttags" w:element="metricconverter">
        <w:smartTagPr>
          <w:attr w:name="ProductID" w:val="2007 г"/>
        </w:smartTagPr>
        <w:r w:rsidRPr="006F579C">
          <w:rPr>
            <w:sz w:val="28"/>
            <w:szCs w:val="28"/>
          </w:rPr>
          <w:t>2007 г</w:t>
        </w:r>
      </w:smartTag>
      <w:r w:rsidRPr="006F579C">
        <w:rPr>
          <w:sz w:val="28"/>
          <w:szCs w:val="28"/>
        </w:rPr>
        <w:t>., стоит отметить, что опыт его создания и функционирования соответствует мировому опыту. В период благоприятной для России внешнеэкономической конъюнктуры нефтяные сверхдоходы бюджета не тратились непосредственно на текущие расходы государства, а аккумулировались в фонде, тем самым выполняя стерилизационную функцию, направленную на стабилизацию реального курса рубля и борьбу с инфляцией, что помогло стабилизировать валютный и денежный рынки. Кроме того, расходование средств фонда на погашение государственного долга страны и дефицита Пенсионного фонда РФ стало началом создания финансовой устойчивости федерального бюджета, что является важнейшим фактором дальнейшего социально-экономического развития страны.</w:t>
      </w:r>
    </w:p>
    <w:p w:rsidR="00E42F04" w:rsidRDefault="00E74274" w:rsidP="006F579C">
      <w:pPr>
        <w:spacing w:after="0" w:line="360" w:lineRule="auto"/>
        <w:ind w:firstLine="851"/>
        <w:jc w:val="both"/>
        <w:rPr>
          <w:sz w:val="28"/>
          <w:szCs w:val="28"/>
        </w:rPr>
      </w:pPr>
      <w:r w:rsidRPr="006F579C">
        <w:rPr>
          <w:sz w:val="28"/>
          <w:szCs w:val="28"/>
        </w:rPr>
        <w:t xml:space="preserve">Однако неполнота аккумулирования конъюнктурных доходов в фонде и имеющиеся недостатки его функционирования не способствовали максимально возможному использованию его в качестве </w:t>
      </w:r>
      <w:r w:rsidRPr="006F579C">
        <w:rPr>
          <w:sz w:val="28"/>
          <w:szCs w:val="28"/>
        </w:rPr>
        <w:lastRenderedPageBreak/>
        <w:t>стабилизационного механизма.</w:t>
      </w:r>
      <w:r w:rsidR="00222D70" w:rsidRPr="006F579C">
        <w:rPr>
          <w:sz w:val="28"/>
          <w:szCs w:val="28"/>
        </w:rPr>
        <w:t xml:space="preserve"> Так, в целях повышения степени антицикличности проводимой политики необходимо было</w:t>
      </w:r>
      <w:r w:rsidR="00FB1FBD" w:rsidRPr="006F579C">
        <w:rPr>
          <w:sz w:val="28"/>
          <w:szCs w:val="28"/>
        </w:rPr>
        <w:t xml:space="preserve"> совершенствовать механизм изъятия природной ренты: целесообразно было бы</w:t>
      </w:r>
      <w:r w:rsidR="00222D70" w:rsidRPr="006F579C">
        <w:rPr>
          <w:sz w:val="28"/>
          <w:szCs w:val="28"/>
        </w:rPr>
        <w:t xml:space="preserve"> изымать в Стабилизационный фонд </w:t>
      </w:r>
      <w:r w:rsidR="00FB1FBD" w:rsidRPr="006F579C">
        <w:rPr>
          <w:sz w:val="28"/>
          <w:szCs w:val="28"/>
        </w:rPr>
        <w:t>конъюнктурные доходы, получаемые не только от сырой нефти, но и от иных видов углеводородного сырья (природный газ, газовый конденсат) и нефтепродуктов. Кроме того, с целью повышения доходности фонда необходимо было расширить возможности инвестирования средств Стабилизационного фонда, а также подвергнуть определенной корректировк</w:t>
      </w:r>
      <w:r w:rsidR="00A41745" w:rsidRPr="006F579C">
        <w:rPr>
          <w:sz w:val="28"/>
          <w:szCs w:val="28"/>
        </w:rPr>
        <w:t>е</w:t>
      </w:r>
      <w:r w:rsidR="00EA703E">
        <w:rPr>
          <w:sz w:val="28"/>
          <w:szCs w:val="28"/>
        </w:rPr>
        <w:t xml:space="preserve"> </w:t>
      </w:r>
      <w:r w:rsidR="00A41745" w:rsidRPr="006F579C">
        <w:rPr>
          <w:sz w:val="28"/>
          <w:szCs w:val="28"/>
        </w:rPr>
        <w:t>направления использования его средств.</w:t>
      </w:r>
      <w:r w:rsidR="00EA703E">
        <w:rPr>
          <w:sz w:val="28"/>
          <w:szCs w:val="28"/>
        </w:rPr>
        <w:t xml:space="preserve"> </w:t>
      </w:r>
      <w:r w:rsidRPr="006F579C">
        <w:rPr>
          <w:sz w:val="28"/>
          <w:szCs w:val="28"/>
        </w:rPr>
        <w:t xml:space="preserve">Именно поэтому для решения стратегических задач стабилизации государственных финансов и </w:t>
      </w:r>
      <w:r w:rsidR="00CD34EC" w:rsidRPr="006F579C">
        <w:rPr>
          <w:sz w:val="28"/>
          <w:szCs w:val="28"/>
        </w:rPr>
        <w:t>денежно</w:t>
      </w:r>
      <w:r w:rsidRPr="006F579C">
        <w:rPr>
          <w:sz w:val="28"/>
          <w:szCs w:val="28"/>
        </w:rPr>
        <w:t xml:space="preserve">-кредитной политики государства была продолжена работа по совершенствованию механизмов планирования фонда и его использования, которая привела к </w:t>
      </w:r>
      <w:r w:rsidR="00EF3933" w:rsidRPr="006F579C">
        <w:rPr>
          <w:sz w:val="28"/>
          <w:szCs w:val="28"/>
        </w:rPr>
        <w:t xml:space="preserve">модификации бюджетных правил и </w:t>
      </w:r>
      <w:r w:rsidRPr="006F579C">
        <w:rPr>
          <w:sz w:val="28"/>
          <w:szCs w:val="28"/>
        </w:rPr>
        <w:t>разделению с 2008 г</w:t>
      </w:r>
      <w:r w:rsidR="002F4055" w:rsidRPr="006F579C">
        <w:rPr>
          <w:sz w:val="28"/>
          <w:szCs w:val="28"/>
        </w:rPr>
        <w:t>ода</w:t>
      </w:r>
      <w:r w:rsidRPr="006F579C">
        <w:rPr>
          <w:sz w:val="28"/>
          <w:szCs w:val="28"/>
        </w:rPr>
        <w:t xml:space="preserve"> Стабилизационного фонда на Резервный фонд и Фонда национального благосостояния.</w:t>
      </w:r>
      <w:bookmarkStart w:id="10" w:name="_Toc316222916"/>
      <w:bookmarkStart w:id="11" w:name="_Toc325281809"/>
      <w:bookmarkStart w:id="12" w:name="_Toc325296817"/>
    </w:p>
    <w:p w:rsidR="006F579C" w:rsidRPr="006F579C" w:rsidRDefault="006F579C" w:rsidP="006F579C">
      <w:pPr>
        <w:spacing w:after="0" w:line="360" w:lineRule="auto"/>
        <w:ind w:firstLine="851"/>
        <w:jc w:val="both"/>
        <w:rPr>
          <w:sz w:val="28"/>
          <w:szCs w:val="28"/>
        </w:rPr>
      </w:pPr>
    </w:p>
    <w:p w:rsidR="00602AEB" w:rsidRPr="00AD79D2" w:rsidRDefault="00602AEB" w:rsidP="00AD79D2">
      <w:pPr>
        <w:pStyle w:val="2"/>
      </w:pPr>
      <w:bookmarkStart w:id="13" w:name="_Toc356172738"/>
      <w:r w:rsidRPr="00AD79D2">
        <w:t xml:space="preserve">2.2 </w:t>
      </w:r>
      <w:r w:rsidR="00EF3933" w:rsidRPr="00AD79D2">
        <w:t xml:space="preserve">Нефтегазовый трансферт, </w:t>
      </w:r>
      <w:r w:rsidRPr="00AD79D2">
        <w:t>Резервный фонд и Фонд национального благосостояния</w:t>
      </w:r>
      <w:bookmarkEnd w:id="10"/>
      <w:bookmarkEnd w:id="11"/>
      <w:bookmarkEnd w:id="12"/>
      <w:r w:rsidR="00CD0264" w:rsidRPr="00AD79D2">
        <w:t xml:space="preserve"> в 2008-2012</w:t>
      </w:r>
      <w:r w:rsidRPr="00AD79D2">
        <w:t xml:space="preserve"> гг.</w:t>
      </w:r>
      <w:bookmarkEnd w:id="13"/>
    </w:p>
    <w:p w:rsidR="00682AD8" w:rsidRPr="006F579C" w:rsidRDefault="00682AD8" w:rsidP="00602AEB">
      <w:pPr>
        <w:spacing w:after="0" w:line="360" w:lineRule="auto"/>
        <w:ind w:firstLine="851"/>
        <w:jc w:val="both"/>
        <w:rPr>
          <w:sz w:val="28"/>
          <w:szCs w:val="28"/>
        </w:rPr>
      </w:pPr>
      <w:r w:rsidRPr="006F579C">
        <w:rPr>
          <w:sz w:val="28"/>
          <w:szCs w:val="28"/>
        </w:rPr>
        <w:t xml:space="preserve">Федеральным законом от 26 апреля 2007 г. </w:t>
      </w:r>
      <w:r w:rsidR="00962186" w:rsidRPr="006F579C">
        <w:rPr>
          <w:sz w:val="28"/>
          <w:szCs w:val="28"/>
        </w:rPr>
        <w:t>№</w:t>
      </w:r>
      <w:r w:rsidRPr="006F579C">
        <w:rPr>
          <w:sz w:val="28"/>
          <w:szCs w:val="28"/>
        </w:rPr>
        <w:t xml:space="preserve">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в Бюджетный кодекс была введена глава 13.2 «Использование нефтегазовых доходов федерального бюджета», которая определила понятие нефтегазовых доходов федерального бюджета, правила их использования и порядок </w:t>
      </w:r>
      <w:r w:rsidRPr="006F579C">
        <w:rPr>
          <w:sz w:val="28"/>
          <w:szCs w:val="28"/>
        </w:rPr>
        <w:lastRenderedPageBreak/>
        <w:t>формирования и использования Резервного фонда и Фонда национального благосостояния.</w:t>
      </w:r>
    </w:p>
    <w:p w:rsidR="00682AD8" w:rsidRPr="006F579C" w:rsidRDefault="00682AD8" w:rsidP="00602AEB">
      <w:pPr>
        <w:spacing w:after="0" w:line="360" w:lineRule="auto"/>
        <w:ind w:firstLine="851"/>
        <w:jc w:val="both"/>
        <w:rPr>
          <w:sz w:val="28"/>
          <w:szCs w:val="28"/>
        </w:rPr>
      </w:pPr>
      <w:r w:rsidRPr="006F579C">
        <w:rPr>
          <w:sz w:val="28"/>
          <w:szCs w:val="28"/>
        </w:rPr>
        <w:t>В основу обновленных бюджетных правил была заложена «концепция ненефтегазового бюджета» (Кудрин, 2006б), согласно которой о</w:t>
      </w:r>
      <w:r w:rsidR="004D3342" w:rsidRPr="006F579C">
        <w:rPr>
          <w:sz w:val="28"/>
          <w:szCs w:val="28"/>
        </w:rPr>
        <w:t>пределенная часть нефтегазовых доходов ежегодно направлялась</w:t>
      </w:r>
      <w:r w:rsidRPr="006F579C">
        <w:rPr>
          <w:sz w:val="28"/>
          <w:szCs w:val="28"/>
        </w:rPr>
        <w:t xml:space="preserve"> на финансирование расходов федерального бюджета в виде нефтегазового трансфер</w:t>
      </w:r>
      <w:r w:rsidR="004D3342" w:rsidRPr="006F579C">
        <w:rPr>
          <w:sz w:val="28"/>
          <w:szCs w:val="28"/>
        </w:rPr>
        <w:t>та, размер которого утверждался</w:t>
      </w:r>
      <w:r w:rsidRPr="006F579C">
        <w:rPr>
          <w:sz w:val="28"/>
          <w:szCs w:val="28"/>
        </w:rPr>
        <w:t xml:space="preserve"> федеральным законом о федеральном бюджете на очередной финансовый год и плановый период и в</w:t>
      </w:r>
      <w:r w:rsidR="004D3342" w:rsidRPr="006F579C">
        <w:rPr>
          <w:sz w:val="28"/>
          <w:szCs w:val="28"/>
        </w:rPr>
        <w:t xml:space="preserve"> соответствии с БК РФ составлял</w:t>
      </w:r>
      <w:r w:rsidRPr="006F579C">
        <w:rPr>
          <w:sz w:val="28"/>
          <w:szCs w:val="28"/>
        </w:rPr>
        <w:t xml:space="preserve"> 3,7% прогнозируемого объема ВВП на соответствующий год</w:t>
      </w:r>
      <w:r w:rsidR="004D3342" w:rsidRPr="006F579C">
        <w:rPr>
          <w:sz w:val="28"/>
          <w:szCs w:val="28"/>
        </w:rPr>
        <w:t>. После завершения формирования нефтегазового трансферта в полном объеме оставшиеся нефтегазовые доходы должны были направляться в Резервный фонд, а в случае недостаточности денежных средств для формирования нефтегазового трансферта Резервный фонд должен был служить источником компенсации выпадающих доходов.</w:t>
      </w:r>
    </w:p>
    <w:p w:rsidR="004D3342" w:rsidRPr="006F579C" w:rsidRDefault="00605E0C" w:rsidP="004D3342">
      <w:pPr>
        <w:spacing w:after="0" w:line="360" w:lineRule="auto"/>
        <w:ind w:firstLine="851"/>
        <w:jc w:val="both"/>
        <w:rPr>
          <w:rStyle w:val="a7"/>
          <w:color w:val="000000"/>
          <w:sz w:val="28"/>
          <w:szCs w:val="28"/>
        </w:rPr>
      </w:pPr>
      <w:r w:rsidRPr="006F579C">
        <w:rPr>
          <w:sz w:val="28"/>
          <w:szCs w:val="28"/>
        </w:rPr>
        <w:t xml:space="preserve">В соответствии с обновленной концепцией </w:t>
      </w:r>
      <w:r w:rsidR="00602AEB" w:rsidRPr="006F579C">
        <w:rPr>
          <w:sz w:val="28"/>
          <w:szCs w:val="28"/>
        </w:rPr>
        <w:t xml:space="preserve">Резервный фонд </w:t>
      </w:r>
      <w:r w:rsidR="00EF3933" w:rsidRPr="006F579C">
        <w:rPr>
          <w:sz w:val="28"/>
          <w:szCs w:val="28"/>
        </w:rPr>
        <w:t xml:space="preserve">стал </w:t>
      </w:r>
      <w:r w:rsidR="00602AEB" w:rsidRPr="006F579C">
        <w:rPr>
          <w:sz w:val="28"/>
          <w:szCs w:val="28"/>
        </w:rPr>
        <w:t>представлят</w:t>
      </w:r>
      <w:r w:rsidR="00EF3933" w:rsidRPr="006F579C">
        <w:rPr>
          <w:sz w:val="28"/>
          <w:szCs w:val="28"/>
        </w:rPr>
        <w:t>ь</w:t>
      </w:r>
      <w:r w:rsidR="00602AEB" w:rsidRPr="006F579C">
        <w:rPr>
          <w:sz w:val="28"/>
          <w:szCs w:val="28"/>
        </w:rPr>
        <w:t xml:space="preserve"> собой часть средств федерального бюджета, которые призваны обеспечивать выполнение государством своих расходных обязательств в случае снижения поступлений нефтегазовых доходов в федеральный бюджет. </w:t>
      </w:r>
      <w:r w:rsidRPr="006F579C">
        <w:rPr>
          <w:sz w:val="28"/>
          <w:szCs w:val="28"/>
        </w:rPr>
        <w:t>Исходя из положения Бюджетного кодекса</w:t>
      </w:r>
      <w:r w:rsidR="00602AEB" w:rsidRPr="006F579C">
        <w:rPr>
          <w:sz w:val="28"/>
          <w:szCs w:val="28"/>
        </w:rPr>
        <w:t xml:space="preserve"> Российской Федерации в редакции 2008 года максимальный размер Резервного фонда закреплялся на уровне 10% прогнозируемого на соответствующий финансовый год объема ВВП, который указывался в федеральном законе о федеральном бюджете на очередной финансовый год и плановый период (БК РФ, ред. 2008</w:t>
      </w:r>
      <w:r w:rsidR="002001C2" w:rsidRPr="006F579C">
        <w:rPr>
          <w:sz w:val="28"/>
          <w:szCs w:val="28"/>
        </w:rPr>
        <w:t xml:space="preserve"> г.</w:t>
      </w:r>
      <w:r w:rsidR="00602AEB" w:rsidRPr="006F579C">
        <w:rPr>
          <w:sz w:val="28"/>
          <w:szCs w:val="28"/>
        </w:rPr>
        <w:t xml:space="preserve">, </w:t>
      </w:r>
      <w:r w:rsidR="00481ABF" w:rsidRPr="006F579C">
        <w:rPr>
          <w:sz w:val="28"/>
          <w:szCs w:val="28"/>
        </w:rPr>
        <w:t>п. 2, ст.96.6).</w:t>
      </w:r>
    </w:p>
    <w:p w:rsidR="004D3342" w:rsidRPr="006F579C" w:rsidRDefault="00602AEB" w:rsidP="004D3342">
      <w:pPr>
        <w:spacing w:after="0" w:line="360" w:lineRule="auto"/>
        <w:ind w:firstLine="851"/>
        <w:jc w:val="both"/>
        <w:rPr>
          <w:color w:val="000000"/>
          <w:sz w:val="28"/>
          <w:szCs w:val="28"/>
          <w:vertAlign w:val="superscript"/>
        </w:rPr>
      </w:pPr>
      <w:r w:rsidRPr="006F579C">
        <w:rPr>
          <w:sz w:val="28"/>
          <w:szCs w:val="28"/>
        </w:rPr>
        <w:t xml:space="preserve">Фонд национального благосостояния является частью средств федерального бюджета, которые направляются на обеспечение софинансирования добровольных пенсионных накоплений граждан, а также на поддержание сбалансированности (покрытие дефицита) бюджета </w:t>
      </w:r>
      <w:r w:rsidRPr="006F579C">
        <w:rPr>
          <w:sz w:val="28"/>
          <w:szCs w:val="28"/>
        </w:rPr>
        <w:lastRenderedPageBreak/>
        <w:t>Пенсионного фонда Российской Федерации</w:t>
      </w:r>
      <w:r w:rsidR="00E56FB4" w:rsidRPr="006F579C">
        <w:rPr>
          <w:sz w:val="28"/>
          <w:szCs w:val="28"/>
        </w:rPr>
        <w:t xml:space="preserve"> (БК РФ, п. 1 ст. 96.10)</w:t>
      </w:r>
      <w:r w:rsidRPr="006F579C">
        <w:rPr>
          <w:sz w:val="28"/>
          <w:szCs w:val="28"/>
        </w:rPr>
        <w:t xml:space="preserve">. </w:t>
      </w:r>
      <w:r w:rsidR="00605E0C" w:rsidRPr="006F579C">
        <w:rPr>
          <w:sz w:val="28"/>
          <w:szCs w:val="28"/>
        </w:rPr>
        <w:t>На основании</w:t>
      </w:r>
      <w:r w:rsidRPr="006F579C">
        <w:rPr>
          <w:sz w:val="28"/>
          <w:szCs w:val="28"/>
        </w:rPr>
        <w:t xml:space="preserve"> Послания Президента РФ</w:t>
      </w:r>
      <w:r w:rsidR="00E56FB4" w:rsidRPr="006F579C">
        <w:rPr>
          <w:sz w:val="28"/>
          <w:szCs w:val="28"/>
        </w:rPr>
        <w:t xml:space="preserve"> Федеральному Собранию РФ от 26 апреля 2007 г.</w:t>
      </w:r>
      <w:r w:rsidRPr="006F579C">
        <w:rPr>
          <w:sz w:val="28"/>
          <w:szCs w:val="28"/>
        </w:rPr>
        <w:t>, средства этого Фонда должны идти на повышение качества жизни людей и развитие экономики, «должны работать на улучшение благосостояния как будущих, так и нынешних поколений».</w:t>
      </w:r>
    </w:p>
    <w:p w:rsidR="002001C2" w:rsidRPr="006F579C" w:rsidRDefault="00602AEB" w:rsidP="004D3342">
      <w:pPr>
        <w:spacing w:after="0" w:line="360" w:lineRule="auto"/>
        <w:ind w:firstLine="851"/>
        <w:jc w:val="both"/>
        <w:rPr>
          <w:color w:val="000000"/>
          <w:sz w:val="28"/>
          <w:szCs w:val="28"/>
          <w:vertAlign w:val="superscript"/>
        </w:rPr>
      </w:pPr>
      <w:r w:rsidRPr="006F579C">
        <w:rPr>
          <w:sz w:val="28"/>
          <w:szCs w:val="28"/>
        </w:rPr>
        <w:t>Основным источником формирования Резервного фонда и Фонда национал</w:t>
      </w:r>
      <w:r w:rsidR="00121EF7" w:rsidRPr="006F579C">
        <w:rPr>
          <w:sz w:val="28"/>
          <w:szCs w:val="28"/>
        </w:rPr>
        <w:t>ьного благосостояния являли</w:t>
      </w:r>
      <w:r w:rsidRPr="006F579C">
        <w:rPr>
          <w:sz w:val="28"/>
          <w:szCs w:val="28"/>
        </w:rPr>
        <w:t>с</w:t>
      </w:r>
      <w:r w:rsidR="00121EF7" w:rsidRPr="006F579C">
        <w:rPr>
          <w:sz w:val="28"/>
          <w:szCs w:val="28"/>
        </w:rPr>
        <w:t>ь</w:t>
      </w:r>
      <w:r w:rsidRPr="006F579C">
        <w:rPr>
          <w:sz w:val="28"/>
          <w:szCs w:val="28"/>
        </w:rPr>
        <w:t xml:space="preserve"> нефтегазовые доходы страны, а именно</w:t>
      </w:r>
      <w:r w:rsidR="004D3342" w:rsidRPr="006F579C">
        <w:rPr>
          <w:sz w:val="28"/>
          <w:szCs w:val="28"/>
        </w:rPr>
        <w:t>(БК РФ, ред. 2008, п. 2 ст. 96.8</w:t>
      </w:r>
      <w:r w:rsidR="00121EF7" w:rsidRPr="006F579C">
        <w:rPr>
          <w:sz w:val="28"/>
          <w:szCs w:val="28"/>
        </w:rPr>
        <w:t>)</w:t>
      </w:r>
      <w:r w:rsidR="002001C2" w:rsidRPr="006F579C">
        <w:rPr>
          <w:sz w:val="28"/>
          <w:szCs w:val="28"/>
        </w:rPr>
        <w:t>:</w:t>
      </w:r>
    </w:p>
    <w:p w:rsidR="002001C2" w:rsidRPr="006F579C" w:rsidRDefault="00602AEB" w:rsidP="004D3342">
      <w:pPr>
        <w:pStyle w:val="a8"/>
        <w:numPr>
          <w:ilvl w:val="0"/>
          <w:numId w:val="7"/>
        </w:numPr>
        <w:spacing w:after="0" w:line="360" w:lineRule="auto"/>
        <w:ind w:left="1276"/>
        <w:jc w:val="both"/>
        <w:rPr>
          <w:sz w:val="28"/>
          <w:szCs w:val="28"/>
        </w:rPr>
      </w:pPr>
      <w:r w:rsidRPr="006F579C">
        <w:rPr>
          <w:sz w:val="28"/>
          <w:szCs w:val="28"/>
        </w:rPr>
        <w:t xml:space="preserve">налог на добычу полезных ископаемых в виде углеводородного сырья (нефть, газ горючий природный, газовый конденсат); </w:t>
      </w:r>
    </w:p>
    <w:p w:rsidR="004D3342" w:rsidRPr="006F579C" w:rsidRDefault="004D3342" w:rsidP="004D3342">
      <w:pPr>
        <w:pStyle w:val="a8"/>
        <w:numPr>
          <w:ilvl w:val="0"/>
          <w:numId w:val="7"/>
        </w:numPr>
        <w:spacing w:after="0" w:line="360" w:lineRule="auto"/>
        <w:ind w:left="1276"/>
        <w:jc w:val="both"/>
        <w:rPr>
          <w:sz w:val="28"/>
          <w:szCs w:val="28"/>
        </w:rPr>
      </w:pPr>
      <w:r w:rsidRPr="006F579C">
        <w:rPr>
          <w:sz w:val="28"/>
          <w:szCs w:val="28"/>
        </w:rPr>
        <w:t>вывозные таможенные</w:t>
      </w:r>
      <w:r w:rsidR="00602AEB" w:rsidRPr="006F579C">
        <w:rPr>
          <w:sz w:val="28"/>
          <w:szCs w:val="28"/>
        </w:rPr>
        <w:t xml:space="preserve"> пошлин</w:t>
      </w:r>
      <w:r w:rsidRPr="006F579C">
        <w:rPr>
          <w:sz w:val="28"/>
          <w:szCs w:val="28"/>
        </w:rPr>
        <w:t>ы на нефть сырую;</w:t>
      </w:r>
    </w:p>
    <w:p w:rsidR="004D3342" w:rsidRPr="006F579C" w:rsidRDefault="004D3342" w:rsidP="004D3342">
      <w:pPr>
        <w:pStyle w:val="a8"/>
        <w:numPr>
          <w:ilvl w:val="0"/>
          <w:numId w:val="7"/>
        </w:numPr>
        <w:spacing w:after="0" w:line="360" w:lineRule="auto"/>
        <w:ind w:left="1276"/>
        <w:jc w:val="both"/>
        <w:rPr>
          <w:sz w:val="28"/>
          <w:szCs w:val="28"/>
        </w:rPr>
      </w:pPr>
      <w:r w:rsidRPr="006F579C">
        <w:rPr>
          <w:sz w:val="28"/>
          <w:szCs w:val="28"/>
        </w:rPr>
        <w:t xml:space="preserve">вывозные таможенные пошлины на </w:t>
      </w:r>
      <w:r w:rsidR="00602AEB" w:rsidRPr="006F579C">
        <w:rPr>
          <w:sz w:val="28"/>
          <w:szCs w:val="28"/>
        </w:rPr>
        <w:t xml:space="preserve">газ природный; </w:t>
      </w:r>
    </w:p>
    <w:p w:rsidR="004D3342" w:rsidRPr="006F579C" w:rsidRDefault="00602AEB" w:rsidP="004D3342">
      <w:pPr>
        <w:pStyle w:val="a8"/>
        <w:numPr>
          <w:ilvl w:val="0"/>
          <w:numId w:val="7"/>
        </w:numPr>
        <w:spacing w:after="0" w:line="360" w:lineRule="auto"/>
        <w:ind w:left="1276"/>
        <w:jc w:val="both"/>
        <w:rPr>
          <w:sz w:val="28"/>
          <w:szCs w:val="28"/>
        </w:rPr>
      </w:pPr>
      <w:r w:rsidRPr="006F579C">
        <w:rPr>
          <w:sz w:val="28"/>
          <w:szCs w:val="28"/>
        </w:rPr>
        <w:t>вывозные таможенные пошлины на товары, выработанные из нефти.</w:t>
      </w:r>
    </w:p>
    <w:p w:rsidR="006A3264" w:rsidRPr="006F579C" w:rsidRDefault="00602AEB" w:rsidP="008F1571">
      <w:pPr>
        <w:spacing w:after="0" w:line="360" w:lineRule="auto"/>
        <w:ind w:firstLine="851"/>
        <w:jc w:val="both"/>
        <w:rPr>
          <w:sz w:val="28"/>
          <w:szCs w:val="28"/>
        </w:rPr>
      </w:pPr>
      <w:r w:rsidRPr="006F579C">
        <w:rPr>
          <w:sz w:val="28"/>
          <w:szCs w:val="28"/>
        </w:rPr>
        <w:t>В том случае, если накопленный объем ср</w:t>
      </w:r>
      <w:r w:rsidR="008F1571" w:rsidRPr="006F579C">
        <w:rPr>
          <w:sz w:val="28"/>
          <w:szCs w:val="28"/>
        </w:rPr>
        <w:t>едств Резервного фонда достигал (превышал</w:t>
      </w:r>
      <w:r w:rsidRPr="006F579C">
        <w:rPr>
          <w:sz w:val="28"/>
          <w:szCs w:val="28"/>
        </w:rPr>
        <w:t>) его нормат</w:t>
      </w:r>
      <w:r w:rsidR="004D3342" w:rsidRPr="006F579C">
        <w:rPr>
          <w:sz w:val="28"/>
          <w:szCs w:val="28"/>
        </w:rPr>
        <w:t>ивную величину оставшиеся сверх</w:t>
      </w:r>
      <w:r w:rsidRPr="006F579C">
        <w:rPr>
          <w:sz w:val="28"/>
          <w:szCs w:val="28"/>
        </w:rPr>
        <w:t xml:space="preserve">доходы </w:t>
      </w:r>
      <w:r w:rsidR="008F1571" w:rsidRPr="006F579C">
        <w:rPr>
          <w:sz w:val="28"/>
          <w:szCs w:val="28"/>
        </w:rPr>
        <w:t>должны были поступать</w:t>
      </w:r>
      <w:r w:rsidRPr="006F579C">
        <w:rPr>
          <w:sz w:val="28"/>
          <w:szCs w:val="28"/>
        </w:rPr>
        <w:t xml:space="preserve"> в Фонд национального благосостояния.</w:t>
      </w:r>
      <w:r w:rsidR="008F1571" w:rsidRPr="006F579C">
        <w:rPr>
          <w:sz w:val="28"/>
          <w:szCs w:val="28"/>
        </w:rPr>
        <w:t xml:space="preserve"> Кроме того, в фонды перечислялись</w:t>
      </w:r>
      <w:r w:rsidRPr="006F579C">
        <w:rPr>
          <w:sz w:val="28"/>
          <w:szCs w:val="28"/>
        </w:rPr>
        <w:t xml:space="preserve"> доходы, полученные от управления их средствами, в соответствии с действ</w:t>
      </w:r>
      <w:r w:rsidR="008F1571" w:rsidRPr="006F579C">
        <w:rPr>
          <w:sz w:val="28"/>
          <w:szCs w:val="28"/>
        </w:rPr>
        <w:t>овавшим</w:t>
      </w:r>
      <w:r w:rsidRPr="006F579C">
        <w:rPr>
          <w:sz w:val="28"/>
          <w:szCs w:val="28"/>
        </w:rPr>
        <w:t xml:space="preserve"> законодательством. В общем виде схема формирования Резервного фонда и Фонда национального благосостояния представлена </w:t>
      </w:r>
      <w:r w:rsidR="009960EC" w:rsidRPr="006F579C">
        <w:rPr>
          <w:sz w:val="28"/>
          <w:szCs w:val="28"/>
        </w:rPr>
        <w:t>на Рис. 2.</w:t>
      </w:r>
    </w:p>
    <w:p w:rsidR="009960EC" w:rsidRPr="006F579C" w:rsidRDefault="009960EC" w:rsidP="009960EC">
      <w:pPr>
        <w:spacing w:after="0" w:line="360" w:lineRule="auto"/>
        <w:ind w:firstLine="851"/>
        <w:jc w:val="both"/>
        <w:rPr>
          <w:sz w:val="28"/>
          <w:szCs w:val="28"/>
        </w:rPr>
      </w:pPr>
      <w:r w:rsidRPr="006F579C">
        <w:rPr>
          <w:sz w:val="28"/>
          <w:szCs w:val="28"/>
        </w:rPr>
        <w:t>Как уже отмечалось ранее, средства Резервного фонда могли использоваться для финансового обеспечения нефтегазового трансферта, в случае недостаточности нефтегазовых доходов, а также для досрочного погашения государственного внешнего долга.</w:t>
      </w:r>
    </w:p>
    <w:p w:rsidR="009960EC" w:rsidRPr="006F579C" w:rsidRDefault="009960EC" w:rsidP="009960EC">
      <w:pPr>
        <w:spacing w:after="0" w:line="360" w:lineRule="auto"/>
        <w:ind w:firstLine="851"/>
        <w:jc w:val="both"/>
        <w:rPr>
          <w:sz w:val="28"/>
          <w:szCs w:val="28"/>
        </w:rPr>
      </w:pPr>
      <w:r w:rsidRPr="006F579C">
        <w:rPr>
          <w:sz w:val="28"/>
          <w:szCs w:val="28"/>
        </w:rPr>
        <w:t xml:space="preserve">Здесь стоит отметить, что использование средств Резервного фонда на финансирование нефтегазового трансферта позволяет проводить сбалансированную бюджетную политику и обеспечивать стабильное социально-экономическое развитие страны, снижая его зависимость от </w:t>
      </w:r>
      <w:r w:rsidRPr="006F579C">
        <w:rPr>
          <w:sz w:val="28"/>
          <w:szCs w:val="28"/>
        </w:rPr>
        <w:lastRenderedPageBreak/>
        <w:t xml:space="preserve">колебаний на мировых товарно-сырьевых рынках в периоды неблагоприятной внешнеэкономической конъюнктуры цен на энергоресурсы. </w:t>
      </w:r>
    </w:p>
    <w:p w:rsidR="009960EC" w:rsidRDefault="009960EC" w:rsidP="006F579C">
      <w:pPr>
        <w:spacing w:after="0" w:line="360" w:lineRule="auto"/>
        <w:ind w:right="-6"/>
        <w:rPr>
          <w:b/>
          <w:sz w:val="26"/>
          <w:szCs w:val="26"/>
        </w:rPr>
      </w:pPr>
    </w:p>
    <w:p w:rsidR="009251DC" w:rsidRPr="00985D29" w:rsidRDefault="002001C2" w:rsidP="002001C2">
      <w:pPr>
        <w:spacing w:after="0" w:line="360" w:lineRule="auto"/>
        <w:ind w:right="-6"/>
        <w:jc w:val="center"/>
        <w:rPr>
          <w:b/>
          <w:sz w:val="26"/>
          <w:szCs w:val="26"/>
        </w:rPr>
      </w:pPr>
      <w:r w:rsidRPr="00985D29">
        <w:rPr>
          <w:b/>
          <w:sz w:val="26"/>
          <w:szCs w:val="26"/>
        </w:rPr>
        <w:t>Схема учета нефтегазовых доходов в 2008-2010гг.</w:t>
      </w:r>
    </w:p>
    <w:p w:rsidR="00602AEB" w:rsidRPr="00985D29" w:rsidRDefault="00023108" w:rsidP="002001C2">
      <w:pPr>
        <w:spacing w:after="0" w:line="360" w:lineRule="auto"/>
        <w:ind w:right="-6"/>
        <w:jc w:val="center"/>
        <w:rPr>
          <w:sz w:val="26"/>
          <w:szCs w:val="26"/>
        </w:rPr>
      </w:pPr>
      <w:r>
        <w:rPr>
          <w:noProof/>
          <w:sz w:val="26"/>
          <w:szCs w:val="26"/>
          <w:lang w:eastAsia="ru-RU"/>
        </w:rPr>
        <w:pict>
          <v:group id="_x0000_s1058" style="position:absolute;left:0;text-align:left;margin-left:158pt;margin-top:99.35pt;width:116.6pt;height:206.3pt;z-index:251662336" coordorigin="5145,8385" coordsize="2332,4126">
            <v:shapetype id="_x0000_t32" coordsize="21600,21600" o:spt="32" o:oned="t" path="m,l21600,21600e" filled="f">
              <v:path arrowok="t" fillok="f" o:connecttype="none"/>
              <o:lock v:ext="edit" shapetype="t"/>
            </v:shapetype>
            <v:shape id="_x0000_s1051" type="#_x0000_t32" style="position:absolute;left:7140;top:8385;width:255;height:0;flip:x" o:connectortype="straight" strokecolor="#4f81bd [3204]" strokeweight="4.5pt">
              <v:stroke endarrow="block"/>
              <v:shadow color="#868686"/>
            </v:shape>
            <v:shape id="_x0000_s1052" type="#_x0000_t32" style="position:absolute;left:7222;top:11685;width:255;height:0;flip:x" o:connectortype="straight" strokecolor="#4f81bd [3204]" strokeweight="4.5pt">
              <v:stroke endarrow="block"/>
              <v:shadow color="#868686"/>
            </v:shape>
            <v:shape id="_x0000_s1053" type="#_x0000_t32" style="position:absolute;left:7140;top:10019;width:255;height:1;flip:x" o:connectortype="straight" strokecolor="#4f81bd [3204]" strokeweight="4.5pt">
              <v:stroke endarrow="block"/>
              <v:shadow color="#868686"/>
            </v:shape>
            <v:shape id="_x0000_s1054" type="#_x0000_t32" style="position:absolute;left:5145;top:10575;width:1;height:270;flip:y" o:connectortype="straight" strokecolor="#95b3d7 [1940]" strokeweight="3pt">
              <v:stroke endarrow="block"/>
              <v:shadow type="perspective" color="#243f60 [1604]" opacity=".5" offset="1pt" offset2="-3pt"/>
            </v:shape>
            <v:shape id="_x0000_s1055" type="#_x0000_t32" style="position:absolute;left:5235;top:12233;width:0;height:278;flip:y" o:connectortype="straight" strokecolor="#95b3d7 [1940]" strokeweight="3pt">
              <v:stroke endarrow="block"/>
              <v:shadow type="perspective" color="#243f60 [1604]" opacity=".5" offset="1pt" offset2="-1pt"/>
            </v:shape>
          </v:group>
        </w:pict>
      </w:r>
      <w:r w:rsidR="009251DC" w:rsidRPr="00985D29">
        <w:rPr>
          <w:noProof/>
          <w:sz w:val="26"/>
          <w:szCs w:val="26"/>
          <w:lang w:eastAsia="ru-RU"/>
        </w:rPr>
        <w:drawing>
          <wp:anchor distT="0" distB="0" distL="114300" distR="114300" simplePos="0" relativeHeight="251666432" behindDoc="0" locked="0" layoutInCell="1" allowOverlap="1">
            <wp:simplePos x="0" y="0"/>
            <wp:positionH relativeFrom="column">
              <wp:posOffset>168275</wp:posOffset>
            </wp:positionH>
            <wp:positionV relativeFrom="paragraph">
              <wp:posOffset>20320</wp:posOffset>
            </wp:positionV>
            <wp:extent cx="5495925" cy="4695825"/>
            <wp:effectExtent l="76200" t="19050" r="0" b="0"/>
            <wp:wrapThrough wrapText="bothSides">
              <wp:wrapPolygon edited="0">
                <wp:start x="9284" y="-88"/>
                <wp:lineTo x="9284" y="2716"/>
                <wp:lineTo x="7038" y="3593"/>
                <wp:lineTo x="6289" y="4031"/>
                <wp:lineTo x="6289" y="7536"/>
                <wp:lineTo x="11081" y="8325"/>
                <wp:lineTo x="6364" y="8587"/>
                <wp:lineTo x="6364" y="11129"/>
                <wp:lineTo x="-299" y="11391"/>
                <wp:lineTo x="-299" y="14721"/>
                <wp:lineTo x="2845" y="15335"/>
                <wp:lineTo x="6514" y="15335"/>
                <wp:lineTo x="-299" y="16649"/>
                <wp:lineTo x="-299" y="19979"/>
                <wp:lineTo x="5241" y="19979"/>
                <wp:lineTo x="5316" y="19979"/>
                <wp:lineTo x="5316" y="19541"/>
                <wp:lineTo x="5915" y="19541"/>
                <wp:lineTo x="7562" y="18489"/>
                <wp:lineTo x="7562" y="18139"/>
                <wp:lineTo x="8910" y="18139"/>
                <wp:lineTo x="12728" y="17087"/>
                <wp:lineTo x="12653" y="16737"/>
                <wp:lineTo x="12728" y="16737"/>
                <wp:lineTo x="14824" y="15422"/>
                <wp:lineTo x="14824" y="6923"/>
                <wp:lineTo x="14899" y="5608"/>
                <wp:lineTo x="15124" y="4118"/>
                <wp:lineTo x="15498" y="3155"/>
                <wp:lineTo x="15423" y="2716"/>
                <wp:lineTo x="15423" y="-88"/>
                <wp:lineTo x="9284" y="-88"/>
              </wp:wrapPolygon>
            </wp:wrapThrough>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9960EC" w:rsidRDefault="009960EC" w:rsidP="002001C2">
      <w:pPr>
        <w:spacing w:after="0" w:line="360" w:lineRule="auto"/>
        <w:ind w:right="-6"/>
        <w:jc w:val="center"/>
        <w:rPr>
          <w:sz w:val="26"/>
          <w:szCs w:val="26"/>
        </w:rPr>
      </w:pPr>
    </w:p>
    <w:p w:rsidR="006A3264" w:rsidRPr="00985D29" w:rsidRDefault="003E504A" w:rsidP="002001C2">
      <w:pPr>
        <w:spacing w:after="0" w:line="360" w:lineRule="auto"/>
        <w:ind w:right="-6"/>
        <w:jc w:val="center"/>
        <w:rPr>
          <w:sz w:val="26"/>
          <w:szCs w:val="26"/>
        </w:rPr>
      </w:pPr>
      <w:r>
        <w:rPr>
          <w:sz w:val="28"/>
          <w:szCs w:val="28"/>
        </w:rPr>
        <w:t>Рис. 2</w:t>
      </w:r>
    </w:p>
    <w:p w:rsidR="009960EC" w:rsidRDefault="009960EC" w:rsidP="000332D8">
      <w:pPr>
        <w:spacing w:after="0" w:line="360" w:lineRule="auto"/>
        <w:ind w:firstLine="851"/>
        <w:jc w:val="both"/>
        <w:rPr>
          <w:sz w:val="26"/>
          <w:szCs w:val="26"/>
        </w:rPr>
      </w:pPr>
    </w:p>
    <w:p w:rsidR="009960EC" w:rsidRPr="006F579C" w:rsidRDefault="00602AEB" w:rsidP="000332D8">
      <w:pPr>
        <w:spacing w:after="0" w:line="360" w:lineRule="auto"/>
        <w:ind w:firstLine="851"/>
        <w:jc w:val="both"/>
        <w:rPr>
          <w:sz w:val="28"/>
          <w:szCs w:val="28"/>
        </w:rPr>
      </w:pPr>
      <w:r w:rsidRPr="006F579C">
        <w:rPr>
          <w:sz w:val="28"/>
          <w:szCs w:val="28"/>
        </w:rPr>
        <w:t>Говоря о том, что средства Резервного фонда могут быть использованы для досрочного погашения государственного внешнего фонда, необходимо подчеркнуть, что эта мера направлена на снижение долговой нагрузки федерального бюджеты за счет незапланированных доходов и позволяет экономить средства федерального бюджета за счет сокращения расходов на обслуживание долговых обязательств.</w:t>
      </w:r>
    </w:p>
    <w:p w:rsidR="000332D8" w:rsidRPr="006F579C" w:rsidRDefault="00CD0264" w:rsidP="000332D8">
      <w:pPr>
        <w:spacing w:after="0" w:line="360" w:lineRule="auto"/>
        <w:ind w:firstLine="851"/>
        <w:jc w:val="both"/>
        <w:rPr>
          <w:sz w:val="28"/>
          <w:szCs w:val="28"/>
        </w:rPr>
      </w:pPr>
      <w:r w:rsidRPr="006F579C">
        <w:rPr>
          <w:sz w:val="28"/>
          <w:szCs w:val="28"/>
        </w:rPr>
        <w:t>Что касается с</w:t>
      </w:r>
      <w:r w:rsidR="00602AEB" w:rsidRPr="006F579C">
        <w:rPr>
          <w:sz w:val="28"/>
          <w:szCs w:val="28"/>
        </w:rPr>
        <w:t>редств Фонда национального благосостояния</w:t>
      </w:r>
      <w:r w:rsidRPr="006F579C">
        <w:rPr>
          <w:sz w:val="28"/>
          <w:szCs w:val="28"/>
        </w:rPr>
        <w:t>, то они</w:t>
      </w:r>
      <w:r w:rsidR="00602AEB" w:rsidRPr="006F579C">
        <w:rPr>
          <w:sz w:val="28"/>
          <w:szCs w:val="28"/>
        </w:rPr>
        <w:t xml:space="preserve"> предназначаются на цели, отличные от целей стабилизационных фо</w:t>
      </w:r>
      <w:r w:rsidRPr="006F579C">
        <w:rPr>
          <w:sz w:val="28"/>
          <w:szCs w:val="28"/>
        </w:rPr>
        <w:t xml:space="preserve">ндов, а </w:t>
      </w:r>
      <w:r w:rsidRPr="006F579C">
        <w:rPr>
          <w:sz w:val="28"/>
          <w:szCs w:val="28"/>
        </w:rPr>
        <w:lastRenderedPageBreak/>
        <w:t xml:space="preserve">именно, служат для </w:t>
      </w:r>
      <w:r w:rsidR="00602AEB" w:rsidRPr="006F579C">
        <w:rPr>
          <w:sz w:val="28"/>
          <w:szCs w:val="28"/>
        </w:rPr>
        <w:t>долгосрочного межпоколенного выравнивания доходов.</w:t>
      </w:r>
      <w:r w:rsidR="00EA703E">
        <w:rPr>
          <w:sz w:val="28"/>
          <w:szCs w:val="28"/>
        </w:rPr>
        <w:t xml:space="preserve"> </w:t>
      </w:r>
      <w:r w:rsidR="00602AEB" w:rsidRPr="006F579C">
        <w:rPr>
          <w:sz w:val="28"/>
          <w:szCs w:val="28"/>
        </w:rPr>
        <w:t>Первоначально направления расходования средств Фонда национального благосостояния не были определены, что обусловлено важнейшим фундаментальным свойством будущего – его неопределенностью и невозможностью в настоящее время четко определить конкретные направления расходования средств. Однако затем была сформулирована цель – использование средств Фонда для финансовой поддержки пенсионной системы страны в связи с увеличением численности пенсионеров с одновременным снижением численности экономически активного населения, поэтому в соответствии с БК РФ средства Фонда национального благосостояния направляются на «обеспечение софинансирования добровольных пенсионных накоплений граждан, а также на поддержание сбалансированности (покрытие дефицита) бюджета Пенсионного фонда Российской Федерации</w:t>
      </w:r>
      <w:r w:rsidRPr="006F579C">
        <w:rPr>
          <w:sz w:val="28"/>
          <w:szCs w:val="28"/>
        </w:rPr>
        <w:t>» (БК РФ, п. 1 ст. 96.10).</w:t>
      </w:r>
    </w:p>
    <w:p w:rsidR="000332D8" w:rsidRPr="006F579C" w:rsidRDefault="00602AEB" w:rsidP="000332D8">
      <w:pPr>
        <w:spacing w:after="0" w:line="360" w:lineRule="auto"/>
        <w:ind w:firstLine="851"/>
        <w:jc w:val="both"/>
        <w:rPr>
          <w:sz w:val="28"/>
          <w:szCs w:val="28"/>
        </w:rPr>
      </w:pPr>
      <w:r w:rsidRPr="006F579C">
        <w:rPr>
          <w:sz w:val="28"/>
          <w:szCs w:val="28"/>
        </w:rPr>
        <w:t xml:space="preserve">Порядок софинансирования добровольных пенсионных накоплений граждан определен в Федеральном законе от 30 апреля </w:t>
      </w:r>
      <w:smartTag w:uri="urn:schemas-microsoft-com:office:smarttags" w:element="metricconverter">
        <w:smartTagPr>
          <w:attr w:name="ProductID" w:val="2008 г"/>
        </w:smartTagPr>
        <w:r w:rsidRPr="006F579C">
          <w:rPr>
            <w:sz w:val="28"/>
            <w:szCs w:val="28"/>
          </w:rPr>
          <w:t>2008 г</w:t>
        </w:r>
      </w:smartTag>
      <w:r w:rsidR="000A4B3F" w:rsidRPr="006F579C">
        <w:rPr>
          <w:sz w:val="28"/>
          <w:szCs w:val="28"/>
        </w:rPr>
        <w:t>. №</w:t>
      </w:r>
      <w:r w:rsidRPr="006F579C">
        <w:rPr>
          <w:sz w:val="28"/>
          <w:szCs w:val="28"/>
        </w:rPr>
        <w:t xml:space="preserve">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443866" w:rsidRPr="006F579C" w:rsidRDefault="00602AEB" w:rsidP="000332D8">
      <w:pPr>
        <w:spacing w:after="0" w:line="360" w:lineRule="auto"/>
        <w:ind w:firstLine="851"/>
        <w:jc w:val="both"/>
        <w:rPr>
          <w:sz w:val="28"/>
          <w:szCs w:val="28"/>
        </w:rPr>
      </w:pPr>
      <w:r w:rsidRPr="006F579C">
        <w:rPr>
          <w:sz w:val="28"/>
          <w:szCs w:val="28"/>
        </w:rPr>
        <w:t xml:space="preserve">Все вышеуказанные нормы и требования, связанные с формированием и использованием средств Резервного фонда и Фонда национального благосостояния </w:t>
      </w:r>
      <w:r w:rsidR="00CD0264" w:rsidRPr="006F579C">
        <w:rPr>
          <w:sz w:val="28"/>
          <w:szCs w:val="28"/>
        </w:rPr>
        <w:t xml:space="preserve">были </w:t>
      </w:r>
      <w:r w:rsidRPr="006F579C">
        <w:rPr>
          <w:sz w:val="28"/>
          <w:szCs w:val="28"/>
        </w:rPr>
        <w:t xml:space="preserve">закреплены в Бюджетном Кодексе Российской Федерации и иных нормативно-правовых актах. Однако </w:t>
      </w:r>
      <w:r w:rsidR="000332D8" w:rsidRPr="006F579C">
        <w:rPr>
          <w:sz w:val="28"/>
          <w:szCs w:val="28"/>
        </w:rPr>
        <w:t xml:space="preserve">из-за резкого падения доходов федерального бюджета (как нефтегазовых, так и ненефтегазовых) в период мирового финансового кризиса 2008-2009 гг. </w:t>
      </w:r>
      <w:r w:rsidRPr="006F579C">
        <w:rPr>
          <w:sz w:val="28"/>
          <w:szCs w:val="28"/>
        </w:rPr>
        <w:t xml:space="preserve">указанные нормы были изменены, и </w:t>
      </w:r>
      <w:r w:rsidR="00CD0264" w:rsidRPr="006F579C">
        <w:rPr>
          <w:sz w:val="28"/>
          <w:szCs w:val="28"/>
        </w:rPr>
        <w:t>действие ранее существующих бюджетных правил было приостановлено</w:t>
      </w:r>
      <w:r w:rsidR="00443866" w:rsidRPr="006F579C">
        <w:rPr>
          <w:sz w:val="28"/>
          <w:szCs w:val="28"/>
        </w:rPr>
        <w:t>.</w:t>
      </w:r>
    </w:p>
    <w:p w:rsidR="009960EC" w:rsidRPr="00442C2A" w:rsidRDefault="00602AEB" w:rsidP="00442C2A">
      <w:pPr>
        <w:spacing w:after="0" w:line="360" w:lineRule="auto"/>
        <w:ind w:firstLine="851"/>
        <w:jc w:val="both"/>
        <w:rPr>
          <w:sz w:val="28"/>
          <w:szCs w:val="28"/>
        </w:rPr>
      </w:pPr>
      <w:r w:rsidRPr="006F579C">
        <w:rPr>
          <w:sz w:val="28"/>
          <w:szCs w:val="28"/>
        </w:rPr>
        <w:lastRenderedPageBreak/>
        <w:t xml:space="preserve">Так, с 1 января </w:t>
      </w:r>
      <w:smartTag w:uri="urn:schemas-microsoft-com:office:smarttags" w:element="metricconverter">
        <w:smartTagPr>
          <w:attr w:name="ProductID" w:val="2010 г"/>
        </w:smartTagPr>
        <w:r w:rsidRPr="006F579C">
          <w:rPr>
            <w:sz w:val="28"/>
            <w:szCs w:val="28"/>
          </w:rPr>
          <w:t>2010 г</w:t>
        </w:r>
      </w:smartTag>
      <w:r w:rsidRPr="006F579C">
        <w:rPr>
          <w:sz w:val="28"/>
          <w:szCs w:val="28"/>
        </w:rPr>
        <w:t>. нефтегазовые доходы федерального бюджета в полном объеме, а также доходы от управления средствами Резервного фонда и Фонда национального благосостояния</w:t>
      </w:r>
      <w:r w:rsidR="00EA703E">
        <w:rPr>
          <w:sz w:val="28"/>
          <w:szCs w:val="28"/>
        </w:rPr>
        <w:t xml:space="preserve"> </w:t>
      </w:r>
      <w:r w:rsidRPr="006F579C">
        <w:rPr>
          <w:sz w:val="28"/>
          <w:szCs w:val="28"/>
        </w:rPr>
        <w:t>напра</w:t>
      </w:r>
      <w:r w:rsidR="000332D8" w:rsidRPr="006F579C">
        <w:rPr>
          <w:sz w:val="28"/>
          <w:szCs w:val="28"/>
        </w:rPr>
        <w:t>влялись</w:t>
      </w:r>
      <w:r w:rsidRPr="006F579C">
        <w:rPr>
          <w:sz w:val="28"/>
          <w:szCs w:val="28"/>
        </w:rPr>
        <w:t xml:space="preserve"> на финансовое обеспечение расходов федерального бюджета. Объемы средств, накопленные в фондах за пред</w:t>
      </w:r>
      <w:r w:rsidR="000332D8" w:rsidRPr="006F579C">
        <w:rPr>
          <w:sz w:val="28"/>
          <w:szCs w:val="28"/>
        </w:rPr>
        <w:t xml:space="preserve">ыдущие годы, также использовались </w:t>
      </w:r>
      <w:r w:rsidRPr="006F579C">
        <w:rPr>
          <w:sz w:val="28"/>
          <w:szCs w:val="28"/>
        </w:rPr>
        <w:t>для финансирования дефицита феде</w:t>
      </w:r>
      <w:r w:rsidR="000332D8" w:rsidRPr="006F579C">
        <w:rPr>
          <w:sz w:val="28"/>
          <w:szCs w:val="28"/>
        </w:rPr>
        <w:t xml:space="preserve">рального бюджета и  утверждались </w:t>
      </w:r>
      <w:r w:rsidRPr="006F579C">
        <w:rPr>
          <w:sz w:val="28"/>
          <w:szCs w:val="28"/>
        </w:rPr>
        <w:t>федеральным законом в составе источников финансирования дефицита федерального бюджета.</w:t>
      </w:r>
      <w:r w:rsidRPr="006F579C">
        <w:rPr>
          <w:rStyle w:val="a7"/>
          <w:sz w:val="28"/>
          <w:szCs w:val="28"/>
        </w:rPr>
        <w:footnoteReference w:id="3"/>
      </w:r>
      <w:r w:rsidR="005F2822" w:rsidRPr="006F579C">
        <w:rPr>
          <w:sz w:val="28"/>
          <w:szCs w:val="28"/>
        </w:rPr>
        <w:t xml:space="preserve">В целом, динамика объемов средств фондов за 2008-2012 гг. представлена </w:t>
      </w:r>
      <w:r w:rsidR="00790D42" w:rsidRPr="006F579C">
        <w:rPr>
          <w:sz w:val="28"/>
          <w:szCs w:val="28"/>
        </w:rPr>
        <w:t>ниже (</w:t>
      </w:r>
      <w:r w:rsidR="009960EC" w:rsidRPr="006F579C">
        <w:rPr>
          <w:sz w:val="28"/>
          <w:szCs w:val="28"/>
        </w:rPr>
        <w:t>Таб. 4</w:t>
      </w:r>
      <w:r w:rsidR="00790D42" w:rsidRPr="006F579C">
        <w:rPr>
          <w:sz w:val="28"/>
          <w:szCs w:val="28"/>
        </w:rPr>
        <w:t>):</w:t>
      </w:r>
    </w:p>
    <w:p w:rsidR="005F2822" w:rsidRPr="00985D29" w:rsidRDefault="009960EC" w:rsidP="009960EC">
      <w:pPr>
        <w:spacing w:after="0"/>
        <w:ind w:firstLine="851"/>
        <w:jc w:val="right"/>
        <w:rPr>
          <w:i/>
          <w:sz w:val="26"/>
          <w:szCs w:val="26"/>
        </w:rPr>
      </w:pPr>
      <w:r>
        <w:rPr>
          <w:i/>
          <w:sz w:val="26"/>
          <w:szCs w:val="26"/>
        </w:rPr>
        <w:t>Таблица 4</w:t>
      </w:r>
    </w:p>
    <w:p w:rsidR="005F2822" w:rsidRPr="00985D29" w:rsidRDefault="005F2822" w:rsidP="009960EC">
      <w:pPr>
        <w:spacing w:after="0"/>
        <w:jc w:val="center"/>
        <w:rPr>
          <w:b/>
          <w:sz w:val="26"/>
          <w:szCs w:val="26"/>
        </w:rPr>
      </w:pPr>
      <w:r w:rsidRPr="00985D29">
        <w:rPr>
          <w:b/>
          <w:sz w:val="26"/>
          <w:szCs w:val="26"/>
        </w:rPr>
        <w:t>Совокупный объем средств Резервного фонда и Фонда национального благосостояния в 2008-2012 гг.</w:t>
      </w:r>
    </w:p>
    <w:tbl>
      <w:tblPr>
        <w:tblStyle w:val="1-12"/>
        <w:tblW w:w="9322" w:type="dxa"/>
        <w:tblLayout w:type="fixed"/>
        <w:tblLook w:val="04A0"/>
      </w:tblPr>
      <w:tblGrid>
        <w:gridCol w:w="2660"/>
        <w:gridCol w:w="1086"/>
        <w:gridCol w:w="1087"/>
        <w:gridCol w:w="1087"/>
        <w:gridCol w:w="1086"/>
        <w:gridCol w:w="1087"/>
        <w:gridCol w:w="1229"/>
      </w:tblGrid>
      <w:tr w:rsidR="00C34274" w:rsidRPr="00AD79D2" w:rsidTr="00C34274">
        <w:trPr>
          <w:cnfStyle w:val="100000000000"/>
        </w:trPr>
        <w:tc>
          <w:tcPr>
            <w:cnfStyle w:val="001000000000"/>
            <w:tcW w:w="2660" w:type="dxa"/>
          </w:tcPr>
          <w:p w:rsidR="00C34274" w:rsidRPr="00AD79D2" w:rsidRDefault="00C34274" w:rsidP="00443866">
            <w:pPr>
              <w:spacing w:line="360" w:lineRule="auto"/>
              <w:jc w:val="both"/>
              <w:rPr>
                <w:sz w:val="22"/>
                <w:szCs w:val="22"/>
              </w:rPr>
            </w:pPr>
          </w:p>
        </w:tc>
        <w:tc>
          <w:tcPr>
            <w:tcW w:w="1086" w:type="dxa"/>
          </w:tcPr>
          <w:p w:rsidR="00C34274" w:rsidRPr="00AD79D2" w:rsidRDefault="00C34274" w:rsidP="00443866">
            <w:pPr>
              <w:spacing w:line="360" w:lineRule="auto"/>
              <w:jc w:val="both"/>
              <w:cnfStyle w:val="100000000000"/>
              <w:rPr>
                <w:sz w:val="22"/>
                <w:szCs w:val="22"/>
              </w:rPr>
            </w:pPr>
            <w:r w:rsidRPr="00AD79D2">
              <w:rPr>
                <w:sz w:val="22"/>
                <w:szCs w:val="22"/>
              </w:rPr>
              <w:t>01.02.08</w:t>
            </w:r>
          </w:p>
        </w:tc>
        <w:tc>
          <w:tcPr>
            <w:tcW w:w="1087" w:type="dxa"/>
          </w:tcPr>
          <w:p w:rsidR="00C34274" w:rsidRPr="00AD79D2" w:rsidRDefault="00C34274" w:rsidP="00443866">
            <w:pPr>
              <w:spacing w:line="360" w:lineRule="auto"/>
              <w:jc w:val="both"/>
              <w:cnfStyle w:val="100000000000"/>
              <w:rPr>
                <w:sz w:val="22"/>
                <w:szCs w:val="22"/>
              </w:rPr>
            </w:pPr>
            <w:r w:rsidRPr="00AD79D2">
              <w:rPr>
                <w:sz w:val="22"/>
                <w:szCs w:val="22"/>
              </w:rPr>
              <w:t>01.01.09</w:t>
            </w:r>
          </w:p>
        </w:tc>
        <w:tc>
          <w:tcPr>
            <w:tcW w:w="1087" w:type="dxa"/>
          </w:tcPr>
          <w:p w:rsidR="00C34274" w:rsidRPr="00AD79D2" w:rsidRDefault="00C34274" w:rsidP="00443866">
            <w:pPr>
              <w:spacing w:line="360" w:lineRule="auto"/>
              <w:jc w:val="both"/>
              <w:cnfStyle w:val="100000000000"/>
              <w:rPr>
                <w:sz w:val="22"/>
                <w:szCs w:val="22"/>
              </w:rPr>
            </w:pPr>
            <w:r w:rsidRPr="00AD79D2">
              <w:rPr>
                <w:sz w:val="22"/>
                <w:szCs w:val="22"/>
              </w:rPr>
              <w:t>01.01.10</w:t>
            </w:r>
          </w:p>
        </w:tc>
        <w:tc>
          <w:tcPr>
            <w:tcW w:w="1086" w:type="dxa"/>
          </w:tcPr>
          <w:p w:rsidR="00C34274" w:rsidRPr="00AD79D2" w:rsidRDefault="00C34274" w:rsidP="00443866">
            <w:pPr>
              <w:spacing w:line="360" w:lineRule="auto"/>
              <w:jc w:val="both"/>
              <w:cnfStyle w:val="100000000000"/>
              <w:rPr>
                <w:sz w:val="22"/>
                <w:szCs w:val="22"/>
              </w:rPr>
            </w:pPr>
            <w:r w:rsidRPr="00AD79D2">
              <w:rPr>
                <w:sz w:val="22"/>
                <w:szCs w:val="22"/>
              </w:rPr>
              <w:t>01.01.11</w:t>
            </w:r>
          </w:p>
        </w:tc>
        <w:tc>
          <w:tcPr>
            <w:tcW w:w="1087" w:type="dxa"/>
          </w:tcPr>
          <w:p w:rsidR="00C34274" w:rsidRPr="00AD79D2" w:rsidRDefault="00C34274" w:rsidP="00443866">
            <w:pPr>
              <w:spacing w:line="360" w:lineRule="auto"/>
              <w:jc w:val="both"/>
              <w:cnfStyle w:val="100000000000"/>
              <w:rPr>
                <w:sz w:val="22"/>
                <w:szCs w:val="22"/>
              </w:rPr>
            </w:pPr>
            <w:r w:rsidRPr="00AD79D2">
              <w:rPr>
                <w:sz w:val="22"/>
                <w:szCs w:val="22"/>
              </w:rPr>
              <w:t>01.01.12</w:t>
            </w:r>
          </w:p>
        </w:tc>
        <w:tc>
          <w:tcPr>
            <w:tcW w:w="1229" w:type="dxa"/>
          </w:tcPr>
          <w:p w:rsidR="00C34274" w:rsidRPr="00AD79D2" w:rsidRDefault="00C34274" w:rsidP="005F2822">
            <w:pPr>
              <w:spacing w:line="360" w:lineRule="auto"/>
              <w:ind w:left="34" w:right="33" w:firstLine="3"/>
              <w:jc w:val="both"/>
              <w:cnfStyle w:val="100000000000"/>
              <w:rPr>
                <w:sz w:val="22"/>
                <w:szCs w:val="22"/>
              </w:rPr>
            </w:pPr>
            <w:r w:rsidRPr="00AD79D2">
              <w:rPr>
                <w:sz w:val="22"/>
                <w:szCs w:val="22"/>
              </w:rPr>
              <w:t>01.01.13</w:t>
            </w:r>
          </w:p>
        </w:tc>
      </w:tr>
      <w:tr w:rsidR="00C34274" w:rsidRPr="00AD79D2" w:rsidTr="00C34274">
        <w:trPr>
          <w:cnfStyle w:val="000000100000"/>
        </w:trPr>
        <w:tc>
          <w:tcPr>
            <w:cnfStyle w:val="001000000000"/>
            <w:tcW w:w="2660" w:type="dxa"/>
          </w:tcPr>
          <w:p w:rsidR="00C34274" w:rsidRPr="00AD79D2" w:rsidRDefault="00C34274" w:rsidP="00C34274">
            <w:pPr>
              <w:jc w:val="center"/>
              <w:rPr>
                <w:b w:val="0"/>
                <w:i/>
                <w:sz w:val="22"/>
                <w:szCs w:val="22"/>
              </w:rPr>
            </w:pPr>
            <w:r w:rsidRPr="00AD79D2">
              <w:rPr>
                <w:b w:val="0"/>
                <w:i/>
                <w:sz w:val="22"/>
                <w:szCs w:val="22"/>
              </w:rPr>
              <w:t>в млрд. руб.</w:t>
            </w:r>
          </w:p>
        </w:tc>
        <w:tc>
          <w:tcPr>
            <w:tcW w:w="1086" w:type="dxa"/>
          </w:tcPr>
          <w:p w:rsidR="00C34274" w:rsidRPr="00AD79D2" w:rsidRDefault="00C34274" w:rsidP="00443866">
            <w:pPr>
              <w:spacing w:line="360" w:lineRule="auto"/>
              <w:jc w:val="both"/>
              <w:cnfStyle w:val="000000100000"/>
              <w:rPr>
                <w:sz w:val="22"/>
                <w:szCs w:val="22"/>
              </w:rPr>
            </w:pPr>
          </w:p>
        </w:tc>
        <w:tc>
          <w:tcPr>
            <w:tcW w:w="1087" w:type="dxa"/>
          </w:tcPr>
          <w:p w:rsidR="00C34274" w:rsidRPr="00AD79D2" w:rsidRDefault="00C34274" w:rsidP="00443866">
            <w:pPr>
              <w:spacing w:line="360" w:lineRule="auto"/>
              <w:jc w:val="both"/>
              <w:cnfStyle w:val="000000100000"/>
              <w:rPr>
                <w:sz w:val="22"/>
                <w:szCs w:val="22"/>
              </w:rPr>
            </w:pPr>
          </w:p>
        </w:tc>
        <w:tc>
          <w:tcPr>
            <w:tcW w:w="1087" w:type="dxa"/>
          </w:tcPr>
          <w:p w:rsidR="00C34274" w:rsidRPr="00AD79D2" w:rsidRDefault="00C34274" w:rsidP="00443866">
            <w:pPr>
              <w:spacing w:line="360" w:lineRule="auto"/>
              <w:jc w:val="both"/>
              <w:cnfStyle w:val="000000100000"/>
              <w:rPr>
                <w:sz w:val="22"/>
                <w:szCs w:val="22"/>
              </w:rPr>
            </w:pPr>
          </w:p>
        </w:tc>
        <w:tc>
          <w:tcPr>
            <w:tcW w:w="1086" w:type="dxa"/>
          </w:tcPr>
          <w:p w:rsidR="00C34274" w:rsidRPr="00AD79D2" w:rsidRDefault="00C34274" w:rsidP="00443866">
            <w:pPr>
              <w:spacing w:line="360" w:lineRule="auto"/>
              <w:jc w:val="both"/>
              <w:cnfStyle w:val="000000100000"/>
              <w:rPr>
                <w:sz w:val="22"/>
                <w:szCs w:val="22"/>
              </w:rPr>
            </w:pPr>
          </w:p>
        </w:tc>
        <w:tc>
          <w:tcPr>
            <w:tcW w:w="1087" w:type="dxa"/>
          </w:tcPr>
          <w:p w:rsidR="00C34274" w:rsidRPr="00AD79D2" w:rsidRDefault="00C34274" w:rsidP="00443866">
            <w:pPr>
              <w:spacing w:line="360" w:lineRule="auto"/>
              <w:jc w:val="both"/>
              <w:cnfStyle w:val="000000100000"/>
              <w:rPr>
                <w:sz w:val="22"/>
                <w:szCs w:val="22"/>
              </w:rPr>
            </w:pPr>
          </w:p>
        </w:tc>
        <w:tc>
          <w:tcPr>
            <w:tcW w:w="1229" w:type="dxa"/>
          </w:tcPr>
          <w:p w:rsidR="00C34274" w:rsidRPr="00AD79D2" w:rsidRDefault="00C34274" w:rsidP="005F2822">
            <w:pPr>
              <w:spacing w:line="360" w:lineRule="auto"/>
              <w:ind w:left="34" w:right="33" w:firstLine="3"/>
              <w:jc w:val="both"/>
              <w:cnfStyle w:val="000000100000"/>
              <w:rPr>
                <w:sz w:val="22"/>
                <w:szCs w:val="22"/>
              </w:rPr>
            </w:pPr>
          </w:p>
        </w:tc>
      </w:tr>
      <w:tr w:rsidR="00C34274" w:rsidRPr="00AD79D2" w:rsidTr="00790D42">
        <w:trPr>
          <w:cnfStyle w:val="000000010000"/>
        </w:trPr>
        <w:tc>
          <w:tcPr>
            <w:cnfStyle w:val="001000000000"/>
            <w:tcW w:w="2660" w:type="dxa"/>
          </w:tcPr>
          <w:p w:rsidR="00C34274" w:rsidRPr="00AD79D2" w:rsidRDefault="00C34274" w:rsidP="005F2822">
            <w:pPr>
              <w:jc w:val="both"/>
              <w:rPr>
                <w:sz w:val="22"/>
                <w:szCs w:val="22"/>
              </w:rPr>
            </w:pPr>
            <w:r w:rsidRPr="00AD79D2">
              <w:rPr>
                <w:sz w:val="22"/>
                <w:szCs w:val="22"/>
              </w:rPr>
              <w:t>Резервный фонд</w:t>
            </w:r>
          </w:p>
        </w:tc>
        <w:tc>
          <w:tcPr>
            <w:tcW w:w="1086" w:type="dxa"/>
            <w:vAlign w:val="center"/>
          </w:tcPr>
          <w:p w:rsidR="00C34274" w:rsidRPr="00AD79D2" w:rsidRDefault="00790D42" w:rsidP="00790D42">
            <w:pPr>
              <w:spacing w:line="360" w:lineRule="auto"/>
              <w:jc w:val="center"/>
              <w:cnfStyle w:val="000000010000"/>
              <w:rPr>
                <w:sz w:val="22"/>
                <w:szCs w:val="22"/>
              </w:rPr>
            </w:pPr>
            <w:r w:rsidRPr="00AD79D2">
              <w:rPr>
                <w:sz w:val="22"/>
                <w:szCs w:val="22"/>
              </w:rPr>
              <w:t>3 057,85</w:t>
            </w:r>
          </w:p>
        </w:tc>
        <w:tc>
          <w:tcPr>
            <w:tcW w:w="1087" w:type="dxa"/>
            <w:vAlign w:val="center"/>
          </w:tcPr>
          <w:p w:rsidR="00C34274" w:rsidRPr="00AD79D2" w:rsidRDefault="00790D42" w:rsidP="00790D42">
            <w:pPr>
              <w:spacing w:line="360" w:lineRule="auto"/>
              <w:jc w:val="center"/>
              <w:cnfStyle w:val="000000010000"/>
              <w:rPr>
                <w:sz w:val="22"/>
                <w:szCs w:val="22"/>
              </w:rPr>
            </w:pPr>
            <w:r w:rsidRPr="00AD79D2">
              <w:rPr>
                <w:sz w:val="22"/>
                <w:szCs w:val="22"/>
              </w:rPr>
              <w:t>4 027,64</w:t>
            </w:r>
          </w:p>
        </w:tc>
        <w:tc>
          <w:tcPr>
            <w:tcW w:w="1087" w:type="dxa"/>
            <w:vAlign w:val="center"/>
          </w:tcPr>
          <w:p w:rsidR="00C34274" w:rsidRPr="00AD79D2" w:rsidRDefault="00790D42" w:rsidP="00790D42">
            <w:pPr>
              <w:spacing w:line="360" w:lineRule="auto"/>
              <w:jc w:val="center"/>
              <w:cnfStyle w:val="000000010000"/>
              <w:rPr>
                <w:sz w:val="22"/>
                <w:szCs w:val="22"/>
              </w:rPr>
            </w:pPr>
            <w:r w:rsidRPr="00AD79D2">
              <w:rPr>
                <w:sz w:val="22"/>
                <w:szCs w:val="22"/>
              </w:rPr>
              <w:t>1 830,51</w:t>
            </w:r>
          </w:p>
        </w:tc>
        <w:tc>
          <w:tcPr>
            <w:tcW w:w="1086" w:type="dxa"/>
            <w:vAlign w:val="center"/>
          </w:tcPr>
          <w:p w:rsidR="00C34274" w:rsidRPr="00AD79D2" w:rsidRDefault="00790D42" w:rsidP="00790D42">
            <w:pPr>
              <w:spacing w:line="360" w:lineRule="auto"/>
              <w:jc w:val="center"/>
              <w:cnfStyle w:val="000000010000"/>
              <w:rPr>
                <w:sz w:val="22"/>
                <w:szCs w:val="22"/>
              </w:rPr>
            </w:pPr>
            <w:r w:rsidRPr="00AD79D2">
              <w:rPr>
                <w:sz w:val="22"/>
                <w:szCs w:val="22"/>
              </w:rPr>
              <w:t>775,21</w:t>
            </w:r>
          </w:p>
        </w:tc>
        <w:tc>
          <w:tcPr>
            <w:tcW w:w="1087" w:type="dxa"/>
            <w:vAlign w:val="center"/>
          </w:tcPr>
          <w:p w:rsidR="00C34274" w:rsidRPr="00AD79D2" w:rsidRDefault="00790D42" w:rsidP="00790D42">
            <w:pPr>
              <w:spacing w:line="360" w:lineRule="auto"/>
              <w:jc w:val="center"/>
              <w:cnfStyle w:val="000000010000"/>
              <w:rPr>
                <w:sz w:val="22"/>
                <w:szCs w:val="22"/>
              </w:rPr>
            </w:pPr>
            <w:r w:rsidRPr="00AD79D2">
              <w:rPr>
                <w:sz w:val="22"/>
                <w:szCs w:val="22"/>
              </w:rPr>
              <w:t>811,52</w:t>
            </w:r>
          </w:p>
        </w:tc>
        <w:tc>
          <w:tcPr>
            <w:tcW w:w="1229" w:type="dxa"/>
            <w:vAlign w:val="center"/>
          </w:tcPr>
          <w:p w:rsidR="00C34274" w:rsidRPr="00AD79D2" w:rsidRDefault="00790D42" w:rsidP="00790D42">
            <w:pPr>
              <w:spacing w:line="360" w:lineRule="auto"/>
              <w:ind w:left="34" w:right="33" w:firstLine="3"/>
              <w:jc w:val="center"/>
              <w:cnfStyle w:val="000000010000"/>
              <w:rPr>
                <w:sz w:val="22"/>
                <w:szCs w:val="22"/>
              </w:rPr>
            </w:pPr>
            <w:r w:rsidRPr="00AD79D2">
              <w:rPr>
                <w:sz w:val="22"/>
                <w:szCs w:val="22"/>
              </w:rPr>
              <w:t>1 885,68</w:t>
            </w:r>
          </w:p>
        </w:tc>
      </w:tr>
      <w:tr w:rsidR="00C34274" w:rsidRPr="00AD79D2" w:rsidTr="00790D42">
        <w:trPr>
          <w:cnfStyle w:val="000000100000"/>
        </w:trPr>
        <w:tc>
          <w:tcPr>
            <w:cnfStyle w:val="001000000000"/>
            <w:tcW w:w="2660" w:type="dxa"/>
          </w:tcPr>
          <w:p w:rsidR="00C34274" w:rsidRPr="00AD79D2" w:rsidRDefault="00C34274" w:rsidP="005F2822">
            <w:pPr>
              <w:jc w:val="both"/>
              <w:rPr>
                <w:sz w:val="22"/>
                <w:szCs w:val="22"/>
              </w:rPr>
            </w:pPr>
            <w:r w:rsidRPr="00AD79D2">
              <w:rPr>
                <w:sz w:val="22"/>
                <w:szCs w:val="22"/>
              </w:rPr>
              <w:t>Фонда национального благосостояния</w:t>
            </w:r>
          </w:p>
        </w:tc>
        <w:tc>
          <w:tcPr>
            <w:tcW w:w="1086" w:type="dxa"/>
            <w:vAlign w:val="center"/>
          </w:tcPr>
          <w:p w:rsidR="00C34274" w:rsidRPr="00AD79D2" w:rsidRDefault="00C34274" w:rsidP="00790D42">
            <w:pPr>
              <w:spacing w:line="360" w:lineRule="auto"/>
              <w:jc w:val="center"/>
              <w:cnfStyle w:val="000000100000"/>
              <w:rPr>
                <w:sz w:val="22"/>
                <w:szCs w:val="22"/>
              </w:rPr>
            </w:pPr>
            <w:r w:rsidRPr="00AD79D2">
              <w:rPr>
                <w:sz w:val="22"/>
                <w:szCs w:val="22"/>
              </w:rPr>
              <w:t>783,31</w:t>
            </w:r>
          </w:p>
        </w:tc>
        <w:tc>
          <w:tcPr>
            <w:tcW w:w="1087" w:type="dxa"/>
            <w:vAlign w:val="center"/>
          </w:tcPr>
          <w:p w:rsidR="00C34274" w:rsidRPr="00AD79D2" w:rsidRDefault="00C34274" w:rsidP="00790D42">
            <w:pPr>
              <w:spacing w:line="360" w:lineRule="auto"/>
              <w:jc w:val="center"/>
              <w:cnfStyle w:val="000000100000"/>
              <w:rPr>
                <w:sz w:val="22"/>
                <w:szCs w:val="22"/>
              </w:rPr>
            </w:pPr>
            <w:r w:rsidRPr="00AD79D2">
              <w:rPr>
                <w:sz w:val="22"/>
                <w:szCs w:val="22"/>
              </w:rPr>
              <w:t>2 584,49</w:t>
            </w:r>
          </w:p>
        </w:tc>
        <w:tc>
          <w:tcPr>
            <w:tcW w:w="1087" w:type="dxa"/>
            <w:vAlign w:val="center"/>
          </w:tcPr>
          <w:p w:rsidR="00C34274" w:rsidRPr="00AD79D2" w:rsidRDefault="00C34274" w:rsidP="00790D42">
            <w:pPr>
              <w:spacing w:line="360" w:lineRule="auto"/>
              <w:jc w:val="center"/>
              <w:cnfStyle w:val="000000100000"/>
              <w:rPr>
                <w:sz w:val="22"/>
                <w:szCs w:val="22"/>
              </w:rPr>
            </w:pPr>
            <w:r w:rsidRPr="00AD79D2">
              <w:rPr>
                <w:sz w:val="22"/>
                <w:szCs w:val="22"/>
              </w:rPr>
              <w:t>2 769,02</w:t>
            </w:r>
          </w:p>
        </w:tc>
        <w:tc>
          <w:tcPr>
            <w:tcW w:w="1086" w:type="dxa"/>
            <w:vAlign w:val="center"/>
          </w:tcPr>
          <w:p w:rsidR="00C34274" w:rsidRPr="00AD79D2" w:rsidRDefault="00C34274" w:rsidP="00790D42">
            <w:pPr>
              <w:spacing w:line="360" w:lineRule="auto"/>
              <w:jc w:val="center"/>
              <w:cnfStyle w:val="000000100000"/>
              <w:rPr>
                <w:sz w:val="22"/>
                <w:szCs w:val="22"/>
              </w:rPr>
            </w:pPr>
            <w:r w:rsidRPr="00AD79D2">
              <w:rPr>
                <w:sz w:val="22"/>
                <w:szCs w:val="22"/>
              </w:rPr>
              <w:t>2 695,52</w:t>
            </w:r>
          </w:p>
        </w:tc>
        <w:tc>
          <w:tcPr>
            <w:tcW w:w="1087" w:type="dxa"/>
            <w:vAlign w:val="center"/>
          </w:tcPr>
          <w:p w:rsidR="00C34274" w:rsidRPr="00AD79D2" w:rsidRDefault="00C34274" w:rsidP="00790D42">
            <w:pPr>
              <w:spacing w:line="360" w:lineRule="auto"/>
              <w:jc w:val="center"/>
              <w:cnfStyle w:val="000000100000"/>
              <w:rPr>
                <w:sz w:val="22"/>
                <w:szCs w:val="22"/>
              </w:rPr>
            </w:pPr>
            <w:r w:rsidRPr="00AD79D2">
              <w:rPr>
                <w:sz w:val="22"/>
                <w:szCs w:val="22"/>
              </w:rPr>
              <w:t>2 794,43</w:t>
            </w:r>
          </w:p>
        </w:tc>
        <w:tc>
          <w:tcPr>
            <w:tcW w:w="1229" w:type="dxa"/>
            <w:vAlign w:val="center"/>
          </w:tcPr>
          <w:p w:rsidR="00C34274" w:rsidRPr="00AD79D2" w:rsidRDefault="00C34274" w:rsidP="00790D42">
            <w:pPr>
              <w:spacing w:line="360" w:lineRule="auto"/>
              <w:ind w:left="34" w:right="33" w:firstLine="3"/>
              <w:jc w:val="center"/>
              <w:cnfStyle w:val="000000100000"/>
              <w:rPr>
                <w:sz w:val="22"/>
                <w:szCs w:val="22"/>
              </w:rPr>
            </w:pPr>
            <w:r w:rsidRPr="00AD79D2">
              <w:rPr>
                <w:sz w:val="22"/>
                <w:szCs w:val="22"/>
              </w:rPr>
              <w:t>2 690,63</w:t>
            </w:r>
          </w:p>
        </w:tc>
      </w:tr>
      <w:tr w:rsidR="00C34274" w:rsidRPr="00AD79D2" w:rsidTr="00790D42">
        <w:trPr>
          <w:cnfStyle w:val="000000010000"/>
        </w:trPr>
        <w:tc>
          <w:tcPr>
            <w:cnfStyle w:val="001000000000"/>
            <w:tcW w:w="2660" w:type="dxa"/>
          </w:tcPr>
          <w:p w:rsidR="00C34274" w:rsidRPr="00AD79D2" w:rsidRDefault="00C34274" w:rsidP="00C34274">
            <w:pPr>
              <w:jc w:val="center"/>
              <w:rPr>
                <w:sz w:val="22"/>
                <w:szCs w:val="22"/>
              </w:rPr>
            </w:pPr>
            <w:r w:rsidRPr="00AD79D2">
              <w:rPr>
                <w:b w:val="0"/>
                <w:i/>
                <w:sz w:val="22"/>
                <w:szCs w:val="22"/>
              </w:rPr>
              <w:t>в млрд. долл.</w:t>
            </w:r>
          </w:p>
        </w:tc>
        <w:tc>
          <w:tcPr>
            <w:tcW w:w="1086" w:type="dxa"/>
            <w:vAlign w:val="center"/>
          </w:tcPr>
          <w:p w:rsidR="00C34274" w:rsidRPr="00AD79D2" w:rsidRDefault="00C34274" w:rsidP="00790D42">
            <w:pPr>
              <w:spacing w:line="360" w:lineRule="auto"/>
              <w:jc w:val="center"/>
              <w:cnfStyle w:val="000000010000"/>
              <w:rPr>
                <w:sz w:val="22"/>
                <w:szCs w:val="22"/>
              </w:rPr>
            </w:pPr>
          </w:p>
        </w:tc>
        <w:tc>
          <w:tcPr>
            <w:tcW w:w="1087" w:type="dxa"/>
            <w:vAlign w:val="center"/>
          </w:tcPr>
          <w:p w:rsidR="00C34274" w:rsidRPr="00AD79D2" w:rsidRDefault="00C34274" w:rsidP="00790D42">
            <w:pPr>
              <w:spacing w:line="360" w:lineRule="auto"/>
              <w:jc w:val="center"/>
              <w:cnfStyle w:val="000000010000"/>
              <w:rPr>
                <w:sz w:val="22"/>
                <w:szCs w:val="22"/>
              </w:rPr>
            </w:pPr>
          </w:p>
        </w:tc>
        <w:tc>
          <w:tcPr>
            <w:tcW w:w="1087" w:type="dxa"/>
            <w:vAlign w:val="center"/>
          </w:tcPr>
          <w:p w:rsidR="00C34274" w:rsidRPr="00AD79D2" w:rsidRDefault="00C34274" w:rsidP="00790D42">
            <w:pPr>
              <w:spacing w:line="360" w:lineRule="auto"/>
              <w:jc w:val="center"/>
              <w:cnfStyle w:val="000000010000"/>
              <w:rPr>
                <w:sz w:val="22"/>
                <w:szCs w:val="22"/>
              </w:rPr>
            </w:pPr>
          </w:p>
        </w:tc>
        <w:tc>
          <w:tcPr>
            <w:tcW w:w="1086" w:type="dxa"/>
            <w:vAlign w:val="center"/>
          </w:tcPr>
          <w:p w:rsidR="00C34274" w:rsidRPr="00AD79D2" w:rsidRDefault="00C34274" w:rsidP="00790D42">
            <w:pPr>
              <w:spacing w:line="360" w:lineRule="auto"/>
              <w:jc w:val="center"/>
              <w:cnfStyle w:val="000000010000"/>
              <w:rPr>
                <w:sz w:val="22"/>
                <w:szCs w:val="22"/>
              </w:rPr>
            </w:pPr>
          </w:p>
        </w:tc>
        <w:tc>
          <w:tcPr>
            <w:tcW w:w="1087" w:type="dxa"/>
            <w:vAlign w:val="center"/>
          </w:tcPr>
          <w:p w:rsidR="00C34274" w:rsidRPr="00AD79D2" w:rsidRDefault="00C34274" w:rsidP="00790D42">
            <w:pPr>
              <w:spacing w:line="360" w:lineRule="auto"/>
              <w:jc w:val="center"/>
              <w:cnfStyle w:val="000000010000"/>
              <w:rPr>
                <w:sz w:val="22"/>
                <w:szCs w:val="22"/>
              </w:rPr>
            </w:pPr>
          </w:p>
        </w:tc>
        <w:tc>
          <w:tcPr>
            <w:tcW w:w="1229" w:type="dxa"/>
            <w:vAlign w:val="center"/>
          </w:tcPr>
          <w:p w:rsidR="00C34274" w:rsidRPr="00AD79D2" w:rsidRDefault="00C34274" w:rsidP="00790D42">
            <w:pPr>
              <w:spacing w:line="360" w:lineRule="auto"/>
              <w:ind w:left="34" w:right="33" w:firstLine="3"/>
              <w:jc w:val="center"/>
              <w:cnfStyle w:val="000000010000"/>
              <w:rPr>
                <w:sz w:val="22"/>
                <w:szCs w:val="22"/>
              </w:rPr>
            </w:pPr>
          </w:p>
        </w:tc>
      </w:tr>
      <w:tr w:rsidR="00C34274" w:rsidRPr="00AD79D2" w:rsidTr="00790D42">
        <w:trPr>
          <w:cnfStyle w:val="000000100000"/>
        </w:trPr>
        <w:tc>
          <w:tcPr>
            <w:cnfStyle w:val="001000000000"/>
            <w:tcW w:w="2660" w:type="dxa"/>
          </w:tcPr>
          <w:p w:rsidR="00C34274" w:rsidRPr="00AD79D2" w:rsidRDefault="00C34274" w:rsidP="005F2822">
            <w:pPr>
              <w:jc w:val="both"/>
              <w:rPr>
                <w:sz w:val="22"/>
                <w:szCs w:val="22"/>
              </w:rPr>
            </w:pPr>
            <w:r w:rsidRPr="00AD79D2">
              <w:rPr>
                <w:sz w:val="22"/>
                <w:szCs w:val="22"/>
              </w:rPr>
              <w:t>Резервный фонд</w:t>
            </w:r>
          </w:p>
        </w:tc>
        <w:tc>
          <w:tcPr>
            <w:tcW w:w="1086" w:type="dxa"/>
            <w:vAlign w:val="center"/>
          </w:tcPr>
          <w:p w:rsidR="00C34274" w:rsidRPr="00AD79D2" w:rsidRDefault="00790D42" w:rsidP="00790D42">
            <w:pPr>
              <w:spacing w:line="360" w:lineRule="auto"/>
              <w:jc w:val="center"/>
              <w:cnfStyle w:val="000000100000"/>
              <w:rPr>
                <w:sz w:val="22"/>
                <w:szCs w:val="22"/>
              </w:rPr>
            </w:pPr>
            <w:r w:rsidRPr="00AD79D2">
              <w:rPr>
                <w:sz w:val="22"/>
                <w:szCs w:val="22"/>
              </w:rPr>
              <w:t>125,19</w:t>
            </w:r>
          </w:p>
        </w:tc>
        <w:tc>
          <w:tcPr>
            <w:tcW w:w="1087" w:type="dxa"/>
            <w:vAlign w:val="center"/>
          </w:tcPr>
          <w:p w:rsidR="00C34274" w:rsidRPr="00AD79D2" w:rsidRDefault="00790D42" w:rsidP="00790D42">
            <w:pPr>
              <w:spacing w:line="360" w:lineRule="auto"/>
              <w:jc w:val="center"/>
              <w:cnfStyle w:val="000000100000"/>
              <w:rPr>
                <w:sz w:val="22"/>
                <w:szCs w:val="22"/>
              </w:rPr>
            </w:pPr>
            <w:r w:rsidRPr="00AD79D2">
              <w:rPr>
                <w:sz w:val="22"/>
                <w:szCs w:val="22"/>
              </w:rPr>
              <w:t>137,09</w:t>
            </w:r>
          </w:p>
        </w:tc>
        <w:tc>
          <w:tcPr>
            <w:tcW w:w="1087" w:type="dxa"/>
            <w:vAlign w:val="center"/>
          </w:tcPr>
          <w:p w:rsidR="00C34274" w:rsidRPr="00AD79D2" w:rsidRDefault="00790D42" w:rsidP="00790D42">
            <w:pPr>
              <w:spacing w:line="360" w:lineRule="auto"/>
              <w:jc w:val="center"/>
              <w:cnfStyle w:val="000000100000"/>
              <w:rPr>
                <w:sz w:val="22"/>
                <w:szCs w:val="22"/>
              </w:rPr>
            </w:pPr>
            <w:r w:rsidRPr="00AD79D2">
              <w:rPr>
                <w:sz w:val="22"/>
                <w:szCs w:val="22"/>
              </w:rPr>
              <w:t>60,52</w:t>
            </w:r>
          </w:p>
        </w:tc>
        <w:tc>
          <w:tcPr>
            <w:tcW w:w="1086" w:type="dxa"/>
            <w:vAlign w:val="center"/>
          </w:tcPr>
          <w:p w:rsidR="00C34274" w:rsidRPr="00AD79D2" w:rsidRDefault="00790D42" w:rsidP="00790D42">
            <w:pPr>
              <w:spacing w:line="360" w:lineRule="auto"/>
              <w:jc w:val="center"/>
              <w:cnfStyle w:val="000000100000"/>
              <w:rPr>
                <w:sz w:val="22"/>
                <w:szCs w:val="22"/>
              </w:rPr>
            </w:pPr>
            <w:r w:rsidRPr="00AD79D2">
              <w:rPr>
                <w:sz w:val="22"/>
                <w:szCs w:val="22"/>
              </w:rPr>
              <w:t>25,44</w:t>
            </w:r>
          </w:p>
        </w:tc>
        <w:tc>
          <w:tcPr>
            <w:tcW w:w="1087" w:type="dxa"/>
            <w:vAlign w:val="center"/>
          </w:tcPr>
          <w:p w:rsidR="00C34274" w:rsidRPr="00AD79D2" w:rsidRDefault="00790D42" w:rsidP="00790D42">
            <w:pPr>
              <w:spacing w:line="360" w:lineRule="auto"/>
              <w:jc w:val="center"/>
              <w:cnfStyle w:val="000000100000"/>
              <w:rPr>
                <w:sz w:val="22"/>
                <w:szCs w:val="22"/>
              </w:rPr>
            </w:pPr>
            <w:r w:rsidRPr="00AD79D2">
              <w:rPr>
                <w:sz w:val="22"/>
                <w:szCs w:val="22"/>
              </w:rPr>
              <w:t>25,21</w:t>
            </w:r>
          </w:p>
        </w:tc>
        <w:tc>
          <w:tcPr>
            <w:tcW w:w="1229" w:type="dxa"/>
            <w:vAlign w:val="center"/>
          </w:tcPr>
          <w:p w:rsidR="00C34274" w:rsidRPr="00AD79D2" w:rsidRDefault="00C34274" w:rsidP="00790D42">
            <w:pPr>
              <w:spacing w:line="360" w:lineRule="auto"/>
              <w:ind w:left="34" w:right="33" w:firstLine="3"/>
              <w:jc w:val="center"/>
              <w:cnfStyle w:val="000000100000"/>
              <w:rPr>
                <w:sz w:val="22"/>
                <w:szCs w:val="22"/>
              </w:rPr>
            </w:pPr>
            <w:r w:rsidRPr="00AD79D2">
              <w:rPr>
                <w:sz w:val="22"/>
                <w:szCs w:val="22"/>
              </w:rPr>
              <w:t>62,08</w:t>
            </w:r>
          </w:p>
        </w:tc>
      </w:tr>
      <w:tr w:rsidR="00C34274" w:rsidRPr="00AD79D2" w:rsidTr="00790D42">
        <w:trPr>
          <w:cnfStyle w:val="000000010000"/>
        </w:trPr>
        <w:tc>
          <w:tcPr>
            <w:cnfStyle w:val="001000000000"/>
            <w:tcW w:w="2660" w:type="dxa"/>
          </w:tcPr>
          <w:p w:rsidR="00C34274" w:rsidRPr="00AD79D2" w:rsidRDefault="00C34274" w:rsidP="005F2822">
            <w:pPr>
              <w:jc w:val="both"/>
              <w:rPr>
                <w:sz w:val="22"/>
                <w:szCs w:val="22"/>
              </w:rPr>
            </w:pPr>
            <w:r w:rsidRPr="00AD79D2">
              <w:rPr>
                <w:sz w:val="22"/>
                <w:szCs w:val="22"/>
              </w:rPr>
              <w:t>Фонда национального благосостояния</w:t>
            </w:r>
          </w:p>
        </w:tc>
        <w:tc>
          <w:tcPr>
            <w:tcW w:w="1086" w:type="dxa"/>
            <w:vAlign w:val="center"/>
          </w:tcPr>
          <w:p w:rsidR="00C34274" w:rsidRPr="00AD79D2" w:rsidRDefault="00C34274" w:rsidP="00790D42">
            <w:pPr>
              <w:spacing w:line="360" w:lineRule="auto"/>
              <w:jc w:val="center"/>
              <w:cnfStyle w:val="000000010000"/>
              <w:rPr>
                <w:sz w:val="22"/>
                <w:szCs w:val="22"/>
              </w:rPr>
            </w:pPr>
            <w:r w:rsidRPr="00AD79D2">
              <w:rPr>
                <w:sz w:val="22"/>
                <w:szCs w:val="22"/>
              </w:rPr>
              <w:t>32,00</w:t>
            </w:r>
          </w:p>
        </w:tc>
        <w:tc>
          <w:tcPr>
            <w:tcW w:w="1087" w:type="dxa"/>
            <w:vAlign w:val="center"/>
          </w:tcPr>
          <w:p w:rsidR="00C34274" w:rsidRPr="00AD79D2" w:rsidRDefault="00C34274" w:rsidP="00790D42">
            <w:pPr>
              <w:spacing w:line="360" w:lineRule="auto"/>
              <w:jc w:val="center"/>
              <w:cnfStyle w:val="000000010000"/>
              <w:rPr>
                <w:sz w:val="22"/>
                <w:szCs w:val="22"/>
              </w:rPr>
            </w:pPr>
            <w:r w:rsidRPr="00AD79D2">
              <w:rPr>
                <w:sz w:val="22"/>
                <w:szCs w:val="22"/>
              </w:rPr>
              <w:t>87,97</w:t>
            </w:r>
          </w:p>
        </w:tc>
        <w:tc>
          <w:tcPr>
            <w:tcW w:w="1087" w:type="dxa"/>
            <w:vAlign w:val="center"/>
          </w:tcPr>
          <w:p w:rsidR="00C34274" w:rsidRPr="00AD79D2" w:rsidRDefault="00C34274" w:rsidP="00790D42">
            <w:pPr>
              <w:spacing w:line="360" w:lineRule="auto"/>
              <w:jc w:val="center"/>
              <w:cnfStyle w:val="000000010000"/>
              <w:rPr>
                <w:sz w:val="22"/>
                <w:szCs w:val="22"/>
              </w:rPr>
            </w:pPr>
            <w:r w:rsidRPr="00AD79D2">
              <w:rPr>
                <w:sz w:val="22"/>
                <w:szCs w:val="22"/>
              </w:rPr>
              <w:t>91,56</w:t>
            </w:r>
          </w:p>
        </w:tc>
        <w:tc>
          <w:tcPr>
            <w:tcW w:w="1086" w:type="dxa"/>
            <w:vAlign w:val="center"/>
          </w:tcPr>
          <w:p w:rsidR="00C34274" w:rsidRPr="00AD79D2" w:rsidRDefault="00C34274" w:rsidP="00790D42">
            <w:pPr>
              <w:spacing w:line="360" w:lineRule="auto"/>
              <w:jc w:val="center"/>
              <w:cnfStyle w:val="000000010000"/>
              <w:rPr>
                <w:sz w:val="22"/>
                <w:szCs w:val="22"/>
              </w:rPr>
            </w:pPr>
            <w:r w:rsidRPr="00AD79D2">
              <w:rPr>
                <w:sz w:val="22"/>
                <w:szCs w:val="22"/>
              </w:rPr>
              <w:t>88,44</w:t>
            </w:r>
          </w:p>
        </w:tc>
        <w:tc>
          <w:tcPr>
            <w:tcW w:w="1087" w:type="dxa"/>
            <w:vAlign w:val="center"/>
          </w:tcPr>
          <w:p w:rsidR="00C34274" w:rsidRPr="00AD79D2" w:rsidRDefault="00C34274" w:rsidP="00790D42">
            <w:pPr>
              <w:spacing w:line="360" w:lineRule="auto"/>
              <w:jc w:val="center"/>
              <w:cnfStyle w:val="000000010000"/>
              <w:rPr>
                <w:sz w:val="22"/>
                <w:szCs w:val="22"/>
              </w:rPr>
            </w:pPr>
            <w:r w:rsidRPr="00AD79D2">
              <w:rPr>
                <w:sz w:val="22"/>
                <w:szCs w:val="22"/>
              </w:rPr>
              <w:t>86,79</w:t>
            </w:r>
          </w:p>
        </w:tc>
        <w:tc>
          <w:tcPr>
            <w:tcW w:w="1229" w:type="dxa"/>
            <w:vAlign w:val="center"/>
          </w:tcPr>
          <w:p w:rsidR="00C34274" w:rsidRPr="00AD79D2" w:rsidRDefault="00C34274" w:rsidP="00790D42">
            <w:pPr>
              <w:spacing w:line="360" w:lineRule="auto"/>
              <w:ind w:left="34" w:right="33" w:firstLine="3"/>
              <w:jc w:val="center"/>
              <w:cnfStyle w:val="000000010000"/>
              <w:rPr>
                <w:sz w:val="22"/>
                <w:szCs w:val="22"/>
              </w:rPr>
            </w:pPr>
            <w:r w:rsidRPr="00AD79D2">
              <w:rPr>
                <w:sz w:val="22"/>
                <w:szCs w:val="22"/>
              </w:rPr>
              <w:t>88,59</w:t>
            </w:r>
          </w:p>
        </w:tc>
      </w:tr>
      <w:tr w:rsidR="00C34274" w:rsidRPr="00AD79D2" w:rsidTr="00790D42">
        <w:trPr>
          <w:cnfStyle w:val="000000100000"/>
        </w:trPr>
        <w:tc>
          <w:tcPr>
            <w:cnfStyle w:val="001000000000"/>
            <w:tcW w:w="2660" w:type="dxa"/>
          </w:tcPr>
          <w:p w:rsidR="00C34274" w:rsidRPr="00AD79D2" w:rsidRDefault="00C34274" w:rsidP="00C34274">
            <w:pPr>
              <w:jc w:val="center"/>
              <w:rPr>
                <w:sz w:val="22"/>
                <w:szCs w:val="22"/>
              </w:rPr>
            </w:pPr>
            <w:r w:rsidRPr="00AD79D2">
              <w:rPr>
                <w:b w:val="0"/>
                <w:i/>
                <w:sz w:val="22"/>
                <w:szCs w:val="22"/>
              </w:rPr>
              <w:t>в % ВВП</w:t>
            </w:r>
          </w:p>
        </w:tc>
        <w:tc>
          <w:tcPr>
            <w:tcW w:w="1086" w:type="dxa"/>
            <w:vAlign w:val="center"/>
          </w:tcPr>
          <w:p w:rsidR="00C34274" w:rsidRPr="00AD79D2" w:rsidRDefault="00C34274" w:rsidP="00790D42">
            <w:pPr>
              <w:spacing w:line="360" w:lineRule="auto"/>
              <w:jc w:val="center"/>
              <w:cnfStyle w:val="000000100000"/>
              <w:rPr>
                <w:sz w:val="22"/>
                <w:szCs w:val="22"/>
              </w:rPr>
            </w:pPr>
          </w:p>
        </w:tc>
        <w:tc>
          <w:tcPr>
            <w:tcW w:w="1087" w:type="dxa"/>
            <w:vAlign w:val="center"/>
          </w:tcPr>
          <w:p w:rsidR="00C34274" w:rsidRPr="00AD79D2" w:rsidRDefault="00C34274" w:rsidP="00790D42">
            <w:pPr>
              <w:spacing w:line="360" w:lineRule="auto"/>
              <w:jc w:val="center"/>
              <w:cnfStyle w:val="000000100000"/>
              <w:rPr>
                <w:sz w:val="22"/>
                <w:szCs w:val="22"/>
              </w:rPr>
            </w:pPr>
          </w:p>
        </w:tc>
        <w:tc>
          <w:tcPr>
            <w:tcW w:w="1087" w:type="dxa"/>
            <w:vAlign w:val="center"/>
          </w:tcPr>
          <w:p w:rsidR="00C34274" w:rsidRPr="00AD79D2" w:rsidRDefault="00C34274" w:rsidP="00790D42">
            <w:pPr>
              <w:spacing w:line="360" w:lineRule="auto"/>
              <w:jc w:val="center"/>
              <w:cnfStyle w:val="000000100000"/>
              <w:rPr>
                <w:sz w:val="22"/>
                <w:szCs w:val="22"/>
              </w:rPr>
            </w:pPr>
          </w:p>
        </w:tc>
        <w:tc>
          <w:tcPr>
            <w:tcW w:w="1086" w:type="dxa"/>
            <w:vAlign w:val="center"/>
          </w:tcPr>
          <w:p w:rsidR="00C34274" w:rsidRPr="00AD79D2" w:rsidRDefault="00C34274" w:rsidP="00790D42">
            <w:pPr>
              <w:spacing w:line="360" w:lineRule="auto"/>
              <w:jc w:val="center"/>
              <w:cnfStyle w:val="000000100000"/>
              <w:rPr>
                <w:sz w:val="22"/>
                <w:szCs w:val="22"/>
              </w:rPr>
            </w:pPr>
          </w:p>
        </w:tc>
        <w:tc>
          <w:tcPr>
            <w:tcW w:w="1087" w:type="dxa"/>
            <w:vAlign w:val="center"/>
          </w:tcPr>
          <w:p w:rsidR="00C34274" w:rsidRPr="00AD79D2" w:rsidRDefault="00C34274" w:rsidP="00790D42">
            <w:pPr>
              <w:spacing w:line="360" w:lineRule="auto"/>
              <w:jc w:val="center"/>
              <w:cnfStyle w:val="000000100000"/>
              <w:rPr>
                <w:sz w:val="22"/>
                <w:szCs w:val="22"/>
              </w:rPr>
            </w:pPr>
          </w:p>
        </w:tc>
        <w:tc>
          <w:tcPr>
            <w:tcW w:w="1229" w:type="dxa"/>
            <w:vAlign w:val="center"/>
          </w:tcPr>
          <w:p w:rsidR="00C34274" w:rsidRPr="00AD79D2" w:rsidRDefault="00C34274" w:rsidP="00790D42">
            <w:pPr>
              <w:spacing w:line="360" w:lineRule="auto"/>
              <w:ind w:left="34" w:right="33" w:firstLine="3"/>
              <w:jc w:val="center"/>
              <w:cnfStyle w:val="000000100000"/>
              <w:rPr>
                <w:sz w:val="22"/>
                <w:szCs w:val="22"/>
              </w:rPr>
            </w:pPr>
          </w:p>
        </w:tc>
      </w:tr>
      <w:tr w:rsidR="00C34274" w:rsidRPr="00AD79D2" w:rsidTr="00790D42">
        <w:trPr>
          <w:cnfStyle w:val="000000010000"/>
        </w:trPr>
        <w:tc>
          <w:tcPr>
            <w:cnfStyle w:val="001000000000"/>
            <w:tcW w:w="2660" w:type="dxa"/>
          </w:tcPr>
          <w:p w:rsidR="00C34274" w:rsidRPr="00AD79D2" w:rsidRDefault="00C34274" w:rsidP="005F2822">
            <w:pPr>
              <w:jc w:val="both"/>
              <w:rPr>
                <w:sz w:val="22"/>
                <w:szCs w:val="22"/>
              </w:rPr>
            </w:pPr>
            <w:r w:rsidRPr="00AD79D2">
              <w:rPr>
                <w:sz w:val="22"/>
                <w:szCs w:val="22"/>
              </w:rPr>
              <w:t>Резервный фонд</w:t>
            </w:r>
          </w:p>
        </w:tc>
        <w:tc>
          <w:tcPr>
            <w:tcW w:w="1086" w:type="dxa"/>
            <w:vAlign w:val="center"/>
          </w:tcPr>
          <w:p w:rsidR="00C34274" w:rsidRPr="00AD79D2" w:rsidRDefault="00790D42" w:rsidP="00790D42">
            <w:pPr>
              <w:spacing w:line="360" w:lineRule="auto"/>
              <w:jc w:val="center"/>
              <w:cnfStyle w:val="000000010000"/>
              <w:rPr>
                <w:sz w:val="22"/>
                <w:szCs w:val="22"/>
              </w:rPr>
            </w:pPr>
            <w:r w:rsidRPr="00AD79D2">
              <w:rPr>
                <w:sz w:val="22"/>
                <w:szCs w:val="22"/>
              </w:rPr>
              <w:t>7,4%</w:t>
            </w:r>
          </w:p>
        </w:tc>
        <w:tc>
          <w:tcPr>
            <w:tcW w:w="1087" w:type="dxa"/>
            <w:vAlign w:val="center"/>
          </w:tcPr>
          <w:p w:rsidR="00C34274" w:rsidRPr="00AD79D2" w:rsidRDefault="00790D42" w:rsidP="00790D42">
            <w:pPr>
              <w:spacing w:line="360" w:lineRule="auto"/>
              <w:jc w:val="center"/>
              <w:cnfStyle w:val="000000010000"/>
              <w:rPr>
                <w:sz w:val="22"/>
                <w:szCs w:val="22"/>
              </w:rPr>
            </w:pPr>
            <w:r w:rsidRPr="00AD79D2">
              <w:rPr>
                <w:sz w:val="22"/>
                <w:szCs w:val="22"/>
              </w:rPr>
              <w:t>9,8%</w:t>
            </w:r>
          </w:p>
        </w:tc>
        <w:tc>
          <w:tcPr>
            <w:tcW w:w="1087" w:type="dxa"/>
            <w:vAlign w:val="center"/>
          </w:tcPr>
          <w:p w:rsidR="00C34274" w:rsidRPr="00AD79D2" w:rsidRDefault="00790D42" w:rsidP="00790D42">
            <w:pPr>
              <w:spacing w:line="360" w:lineRule="auto"/>
              <w:jc w:val="center"/>
              <w:cnfStyle w:val="000000010000"/>
              <w:rPr>
                <w:sz w:val="22"/>
                <w:szCs w:val="22"/>
              </w:rPr>
            </w:pPr>
            <w:r w:rsidRPr="00AD79D2">
              <w:rPr>
                <w:sz w:val="22"/>
                <w:szCs w:val="22"/>
              </w:rPr>
              <w:t>4,7%</w:t>
            </w:r>
          </w:p>
        </w:tc>
        <w:tc>
          <w:tcPr>
            <w:tcW w:w="1086" w:type="dxa"/>
            <w:vAlign w:val="center"/>
          </w:tcPr>
          <w:p w:rsidR="00C34274" w:rsidRPr="00AD79D2" w:rsidRDefault="00790D42" w:rsidP="00790D42">
            <w:pPr>
              <w:spacing w:line="360" w:lineRule="auto"/>
              <w:jc w:val="center"/>
              <w:cnfStyle w:val="000000010000"/>
              <w:rPr>
                <w:sz w:val="22"/>
                <w:szCs w:val="22"/>
              </w:rPr>
            </w:pPr>
            <w:r w:rsidRPr="00AD79D2">
              <w:rPr>
                <w:sz w:val="22"/>
                <w:szCs w:val="22"/>
              </w:rPr>
              <w:t>1,7%</w:t>
            </w:r>
          </w:p>
        </w:tc>
        <w:tc>
          <w:tcPr>
            <w:tcW w:w="1087" w:type="dxa"/>
            <w:vAlign w:val="center"/>
          </w:tcPr>
          <w:p w:rsidR="00C34274" w:rsidRPr="00AD79D2" w:rsidRDefault="00790D42" w:rsidP="00790D42">
            <w:pPr>
              <w:spacing w:line="360" w:lineRule="auto"/>
              <w:jc w:val="center"/>
              <w:cnfStyle w:val="000000010000"/>
              <w:rPr>
                <w:sz w:val="22"/>
                <w:szCs w:val="22"/>
              </w:rPr>
            </w:pPr>
            <w:r w:rsidRPr="00AD79D2">
              <w:rPr>
                <w:sz w:val="22"/>
                <w:szCs w:val="22"/>
              </w:rPr>
              <w:t>1,5%</w:t>
            </w:r>
          </w:p>
        </w:tc>
        <w:tc>
          <w:tcPr>
            <w:tcW w:w="1229" w:type="dxa"/>
            <w:vAlign w:val="center"/>
          </w:tcPr>
          <w:p w:rsidR="00C34274" w:rsidRPr="00AD79D2" w:rsidRDefault="00790D42" w:rsidP="00790D42">
            <w:pPr>
              <w:spacing w:line="360" w:lineRule="auto"/>
              <w:ind w:left="34" w:right="33" w:firstLine="3"/>
              <w:jc w:val="center"/>
              <w:cnfStyle w:val="000000010000"/>
              <w:rPr>
                <w:sz w:val="22"/>
                <w:szCs w:val="22"/>
              </w:rPr>
            </w:pPr>
            <w:r w:rsidRPr="00AD79D2">
              <w:rPr>
                <w:sz w:val="22"/>
                <w:szCs w:val="22"/>
              </w:rPr>
              <w:t>3,0%</w:t>
            </w:r>
          </w:p>
        </w:tc>
      </w:tr>
      <w:tr w:rsidR="00C34274" w:rsidRPr="00AD79D2" w:rsidTr="00790D42">
        <w:trPr>
          <w:cnfStyle w:val="000000100000"/>
        </w:trPr>
        <w:tc>
          <w:tcPr>
            <w:cnfStyle w:val="001000000000"/>
            <w:tcW w:w="2660" w:type="dxa"/>
          </w:tcPr>
          <w:p w:rsidR="00C34274" w:rsidRPr="00AD79D2" w:rsidRDefault="00C34274" w:rsidP="005F2822">
            <w:pPr>
              <w:jc w:val="both"/>
              <w:rPr>
                <w:sz w:val="22"/>
                <w:szCs w:val="22"/>
              </w:rPr>
            </w:pPr>
            <w:r w:rsidRPr="00AD79D2">
              <w:rPr>
                <w:sz w:val="22"/>
                <w:szCs w:val="22"/>
              </w:rPr>
              <w:t>Фонда национального благосостояния</w:t>
            </w:r>
          </w:p>
        </w:tc>
        <w:tc>
          <w:tcPr>
            <w:tcW w:w="1086" w:type="dxa"/>
            <w:vAlign w:val="center"/>
          </w:tcPr>
          <w:p w:rsidR="00C34274" w:rsidRPr="00AD79D2" w:rsidRDefault="00C34274" w:rsidP="00790D42">
            <w:pPr>
              <w:spacing w:line="360" w:lineRule="auto"/>
              <w:jc w:val="center"/>
              <w:cnfStyle w:val="000000100000"/>
              <w:rPr>
                <w:sz w:val="22"/>
                <w:szCs w:val="22"/>
              </w:rPr>
            </w:pPr>
            <w:r w:rsidRPr="00AD79D2">
              <w:rPr>
                <w:sz w:val="22"/>
                <w:szCs w:val="22"/>
              </w:rPr>
              <w:t>1,9%</w:t>
            </w:r>
          </w:p>
        </w:tc>
        <w:tc>
          <w:tcPr>
            <w:tcW w:w="1087" w:type="dxa"/>
            <w:vAlign w:val="center"/>
          </w:tcPr>
          <w:p w:rsidR="00C34274" w:rsidRPr="00AD79D2" w:rsidRDefault="00C34274" w:rsidP="00790D42">
            <w:pPr>
              <w:spacing w:line="360" w:lineRule="auto"/>
              <w:jc w:val="center"/>
              <w:cnfStyle w:val="000000100000"/>
              <w:rPr>
                <w:sz w:val="22"/>
                <w:szCs w:val="22"/>
              </w:rPr>
            </w:pPr>
            <w:r w:rsidRPr="00AD79D2">
              <w:rPr>
                <w:sz w:val="22"/>
                <w:szCs w:val="22"/>
              </w:rPr>
              <w:t>6,3%</w:t>
            </w:r>
          </w:p>
        </w:tc>
        <w:tc>
          <w:tcPr>
            <w:tcW w:w="1087" w:type="dxa"/>
            <w:vAlign w:val="center"/>
          </w:tcPr>
          <w:p w:rsidR="00C34274" w:rsidRPr="00AD79D2" w:rsidRDefault="00C34274" w:rsidP="00790D42">
            <w:pPr>
              <w:spacing w:line="360" w:lineRule="auto"/>
              <w:jc w:val="center"/>
              <w:cnfStyle w:val="000000100000"/>
              <w:rPr>
                <w:sz w:val="22"/>
                <w:szCs w:val="22"/>
              </w:rPr>
            </w:pPr>
            <w:r w:rsidRPr="00AD79D2">
              <w:rPr>
                <w:sz w:val="22"/>
                <w:szCs w:val="22"/>
              </w:rPr>
              <w:t>7,1%</w:t>
            </w:r>
          </w:p>
        </w:tc>
        <w:tc>
          <w:tcPr>
            <w:tcW w:w="1086" w:type="dxa"/>
            <w:vAlign w:val="center"/>
          </w:tcPr>
          <w:p w:rsidR="00C34274" w:rsidRPr="00AD79D2" w:rsidRDefault="00C34274" w:rsidP="00790D42">
            <w:pPr>
              <w:spacing w:line="360" w:lineRule="auto"/>
              <w:jc w:val="center"/>
              <w:cnfStyle w:val="000000100000"/>
              <w:rPr>
                <w:sz w:val="22"/>
                <w:szCs w:val="22"/>
              </w:rPr>
            </w:pPr>
            <w:r w:rsidRPr="00AD79D2">
              <w:rPr>
                <w:sz w:val="22"/>
                <w:szCs w:val="22"/>
              </w:rPr>
              <w:t>6,0%</w:t>
            </w:r>
          </w:p>
        </w:tc>
        <w:tc>
          <w:tcPr>
            <w:tcW w:w="1087" w:type="dxa"/>
            <w:vAlign w:val="center"/>
          </w:tcPr>
          <w:p w:rsidR="00C34274" w:rsidRPr="00AD79D2" w:rsidRDefault="00C34274" w:rsidP="00790D42">
            <w:pPr>
              <w:spacing w:line="360" w:lineRule="auto"/>
              <w:jc w:val="center"/>
              <w:cnfStyle w:val="000000100000"/>
              <w:rPr>
                <w:sz w:val="22"/>
                <w:szCs w:val="22"/>
              </w:rPr>
            </w:pPr>
            <w:r w:rsidRPr="00AD79D2">
              <w:rPr>
                <w:sz w:val="22"/>
                <w:szCs w:val="22"/>
              </w:rPr>
              <w:t>5,1%</w:t>
            </w:r>
          </w:p>
        </w:tc>
        <w:tc>
          <w:tcPr>
            <w:tcW w:w="1229" w:type="dxa"/>
            <w:vAlign w:val="center"/>
          </w:tcPr>
          <w:p w:rsidR="00C34274" w:rsidRPr="00AD79D2" w:rsidRDefault="00C34274" w:rsidP="00790D42">
            <w:pPr>
              <w:spacing w:line="360" w:lineRule="auto"/>
              <w:ind w:left="34" w:right="33" w:firstLine="3"/>
              <w:jc w:val="center"/>
              <w:cnfStyle w:val="000000100000"/>
              <w:rPr>
                <w:sz w:val="22"/>
                <w:szCs w:val="22"/>
              </w:rPr>
            </w:pPr>
            <w:r w:rsidRPr="00AD79D2">
              <w:rPr>
                <w:sz w:val="22"/>
                <w:szCs w:val="22"/>
              </w:rPr>
              <w:t>4,3%</w:t>
            </w:r>
          </w:p>
        </w:tc>
      </w:tr>
    </w:tbl>
    <w:p w:rsidR="005F2822" w:rsidRPr="00707363" w:rsidRDefault="00790D42" w:rsidP="00790D42">
      <w:pPr>
        <w:spacing w:after="0" w:line="360" w:lineRule="auto"/>
        <w:jc w:val="both"/>
        <w:rPr>
          <w:rStyle w:val="af8"/>
        </w:rPr>
      </w:pPr>
      <w:r w:rsidRPr="00707363">
        <w:rPr>
          <w:rStyle w:val="af8"/>
        </w:rPr>
        <w:t xml:space="preserve">Источник: </w:t>
      </w:r>
      <w:r w:rsidR="00AD79D2" w:rsidRPr="00707363">
        <w:rPr>
          <w:rStyle w:val="af8"/>
        </w:rPr>
        <w:t>Данные, представленные на официальном</w:t>
      </w:r>
      <w:r w:rsidR="00AA2164" w:rsidRPr="00707363">
        <w:rPr>
          <w:rStyle w:val="af8"/>
        </w:rPr>
        <w:t xml:space="preserve"> сайт</w:t>
      </w:r>
      <w:r w:rsidR="00AD79D2" w:rsidRPr="00707363">
        <w:rPr>
          <w:rStyle w:val="af8"/>
        </w:rPr>
        <w:t>е</w:t>
      </w:r>
      <w:r w:rsidR="00EA703E">
        <w:rPr>
          <w:rStyle w:val="af8"/>
        </w:rPr>
        <w:t xml:space="preserve"> </w:t>
      </w:r>
      <w:r w:rsidRPr="00707363">
        <w:rPr>
          <w:rStyle w:val="af8"/>
        </w:rPr>
        <w:t>Минфин</w:t>
      </w:r>
      <w:r w:rsidR="00AA2164" w:rsidRPr="00707363">
        <w:rPr>
          <w:rStyle w:val="af8"/>
        </w:rPr>
        <w:t>а</w:t>
      </w:r>
      <w:r w:rsidRPr="00707363">
        <w:rPr>
          <w:rStyle w:val="af8"/>
        </w:rPr>
        <w:t xml:space="preserve"> России</w:t>
      </w:r>
    </w:p>
    <w:p w:rsidR="00BE564F" w:rsidRPr="006F579C" w:rsidRDefault="00790D42" w:rsidP="0022489F">
      <w:pPr>
        <w:spacing w:after="0" w:line="360" w:lineRule="auto"/>
        <w:ind w:firstLine="851"/>
        <w:jc w:val="both"/>
        <w:rPr>
          <w:sz w:val="28"/>
          <w:szCs w:val="28"/>
        </w:rPr>
      </w:pPr>
      <w:r w:rsidRPr="006F579C">
        <w:rPr>
          <w:sz w:val="28"/>
          <w:szCs w:val="28"/>
        </w:rPr>
        <w:t>М</w:t>
      </w:r>
      <w:r w:rsidR="00443866" w:rsidRPr="006F579C">
        <w:rPr>
          <w:sz w:val="28"/>
          <w:szCs w:val="28"/>
        </w:rPr>
        <w:t>еры</w:t>
      </w:r>
      <w:r w:rsidRPr="006F579C">
        <w:rPr>
          <w:sz w:val="28"/>
          <w:szCs w:val="28"/>
        </w:rPr>
        <w:t xml:space="preserve"> по приостановлению зачисления нефтегазовых доходов в фонды и использованию уже накопленных денежных средств</w:t>
      </w:r>
      <w:r w:rsidR="00443866" w:rsidRPr="006F579C">
        <w:rPr>
          <w:sz w:val="28"/>
          <w:szCs w:val="28"/>
        </w:rPr>
        <w:t xml:space="preserve"> были введены в рамках реализации антикризисной политики в связи с нестабильностью на мировом рынке сырьевых ресурсов и необходимостью преодоления последстви</w:t>
      </w:r>
      <w:r w:rsidR="00BD70AF" w:rsidRPr="006F579C">
        <w:rPr>
          <w:sz w:val="28"/>
          <w:szCs w:val="28"/>
        </w:rPr>
        <w:t>й финансового</w:t>
      </w:r>
      <w:r w:rsidR="00443866" w:rsidRPr="006F579C">
        <w:rPr>
          <w:sz w:val="28"/>
          <w:szCs w:val="28"/>
        </w:rPr>
        <w:t xml:space="preserve"> кризиса.</w:t>
      </w:r>
      <w:r w:rsidR="00EA703E">
        <w:rPr>
          <w:sz w:val="28"/>
          <w:szCs w:val="28"/>
        </w:rPr>
        <w:t xml:space="preserve"> </w:t>
      </w:r>
      <w:r w:rsidR="00BE564F" w:rsidRPr="006F579C">
        <w:rPr>
          <w:sz w:val="28"/>
          <w:szCs w:val="28"/>
        </w:rPr>
        <w:t xml:space="preserve">В основу мер по выходу </w:t>
      </w:r>
      <w:r w:rsidR="00BE564F" w:rsidRPr="006F579C">
        <w:rPr>
          <w:sz w:val="28"/>
          <w:szCs w:val="28"/>
        </w:rPr>
        <w:lastRenderedPageBreak/>
        <w:t>из кризиса и м</w:t>
      </w:r>
      <w:r w:rsidR="00F326AE">
        <w:rPr>
          <w:sz w:val="28"/>
          <w:szCs w:val="28"/>
        </w:rPr>
        <w:t>одернизации российской экономики</w:t>
      </w:r>
      <w:r w:rsidR="00BE564F" w:rsidRPr="006F579C">
        <w:rPr>
          <w:sz w:val="28"/>
          <w:szCs w:val="28"/>
        </w:rPr>
        <w:t xml:space="preserve"> легли следующие нормативные правовые акты:</w:t>
      </w:r>
    </w:p>
    <w:p w:rsidR="00BE564F" w:rsidRPr="006F579C" w:rsidRDefault="00BE564F" w:rsidP="002B1E61">
      <w:pPr>
        <w:pStyle w:val="a8"/>
        <w:numPr>
          <w:ilvl w:val="0"/>
          <w:numId w:val="7"/>
        </w:numPr>
        <w:spacing w:after="0" w:line="360" w:lineRule="auto"/>
        <w:ind w:left="1134"/>
        <w:jc w:val="both"/>
        <w:rPr>
          <w:sz w:val="28"/>
          <w:szCs w:val="28"/>
        </w:rPr>
      </w:pPr>
      <w:r w:rsidRPr="006F579C">
        <w:rPr>
          <w:sz w:val="28"/>
          <w:szCs w:val="28"/>
        </w:rPr>
        <w:t xml:space="preserve">План действий, направленных на оздоровление ситуации в финансовом секторе и отдельных отраслях экономики (утвержден Председателем Правительства Российской Федерации В.В. Путиным от 6 ноября 2008 года № 4863п-П13) </w:t>
      </w:r>
    </w:p>
    <w:p w:rsidR="002B1E61" w:rsidRPr="006F579C" w:rsidRDefault="00BE564F" w:rsidP="002B1E61">
      <w:pPr>
        <w:pStyle w:val="a8"/>
        <w:numPr>
          <w:ilvl w:val="0"/>
          <w:numId w:val="7"/>
        </w:numPr>
        <w:spacing w:after="0" w:line="360" w:lineRule="auto"/>
        <w:ind w:left="1134"/>
        <w:jc w:val="both"/>
        <w:rPr>
          <w:sz w:val="28"/>
          <w:szCs w:val="28"/>
        </w:rPr>
      </w:pPr>
      <w:r w:rsidRPr="006F579C">
        <w:rPr>
          <w:sz w:val="28"/>
          <w:szCs w:val="28"/>
        </w:rPr>
        <w:t>Программа антикризисных мер Правительства Российской Федерации на 2009 год (одобрена на заседании Правительства Российской Федерации, протокол от 9 апреля 2009 г. № 11)</w:t>
      </w:r>
    </w:p>
    <w:p w:rsidR="002B1E61" w:rsidRPr="006F579C" w:rsidRDefault="002B1E61" w:rsidP="002B1E61">
      <w:pPr>
        <w:pStyle w:val="a8"/>
        <w:numPr>
          <w:ilvl w:val="0"/>
          <w:numId w:val="7"/>
        </w:numPr>
        <w:spacing w:after="0" w:line="360" w:lineRule="auto"/>
        <w:ind w:left="1134"/>
        <w:jc w:val="both"/>
        <w:rPr>
          <w:sz w:val="28"/>
          <w:szCs w:val="28"/>
        </w:rPr>
      </w:pPr>
      <w:r w:rsidRPr="006F579C">
        <w:rPr>
          <w:sz w:val="28"/>
          <w:szCs w:val="28"/>
        </w:rPr>
        <w:t>Основные направления антикризисных действий Правительства Российской Федерации на 2010 год (одобрено на заседании Правительства Российской Федерации, протокол от 30 декабря 2009 г. № 42).</w:t>
      </w:r>
    </w:p>
    <w:p w:rsidR="00AD6D42" w:rsidRPr="008B4EA6" w:rsidRDefault="00AD6D42" w:rsidP="008B4EA6">
      <w:pPr>
        <w:spacing w:after="0" w:line="360" w:lineRule="auto"/>
        <w:ind w:firstLine="851"/>
        <w:jc w:val="both"/>
        <w:rPr>
          <w:sz w:val="28"/>
          <w:szCs w:val="28"/>
        </w:rPr>
      </w:pPr>
      <w:r w:rsidRPr="006F579C">
        <w:rPr>
          <w:sz w:val="28"/>
          <w:szCs w:val="28"/>
        </w:rPr>
        <w:t>В части использования средств Резервного фонда и Фонда национального благосостояния для реализации антикризисной политики был</w:t>
      </w:r>
      <w:r w:rsidR="006F579C">
        <w:rPr>
          <w:sz w:val="28"/>
          <w:szCs w:val="28"/>
        </w:rPr>
        <w:t xml:space="preserve"> принят ряд нормативных правовых актов, основные положения которых представлены в Приложении 1.</w:t>
      </w:r>
    </w:p>
    <w:p w:rsidR="009B3B8D" w:rsidRPr="008B4EA6" w:rsidRDefault="009B3B8D" w:rsidP="00AD6D42">
      <w:pPr>
        <w:spacing w:after="0"/>
        <w:ind w:firstLine="851"/>
        <w:rPr>
          <w:sz w:val="28"/>
          <w:szCs w:val="28"/>
        </w:rPr>
      </w:pPr>
      <w:r w:rsidRPr="008B4EA6">
        <w:rPr>
          <w:sz w:val="28"/>
          <w:szCs w:val="28"/>
        </w:rPr>
        <w:t>Основными приоритетами антикризисной политики являлись:</w:t>
      </w:r>
    </w:p>
    <w:p w:rsidR="009B3B8D" w:rsidRPr="008B4EA6" w:rsidRDefault="009B3B8D" w:rsidP="009B3B8D">
      <w:pPr>
        <w:pStyle w:val="a8"/>
        <w:numPr>
          <w:ilvl w:val="0"/>
          <w:numId w:val="17"/>
        </w:numPr>
        <w:spacing w:after="0" w:line="360" w:lineRule="auto"/>
        <w:ind w:left="1276"/>
        <w:jc w:val="both"/>
        <w:rPr>
          <w:sz w:val="28"/>
          <w:szCs w:val="28"/>
        </w:rPr>
      </w:pPr>
      <w:r w:rsidRPr="008B4EA6">
        <w:rPr>
          <w:sz w:val="28"/>
          <w:szCs w:val="28"/>
        </w:rPr>
        <w:t>выполнение в полном объеме социальных обязательств государства перед населением и развитие человеческого потенциала,</w:t>
      </w:r>
    </w:p>
    <w:p w:rsidR="009B3B8D" w:rsidRPr="008B4EA6" w:rsidRDefault="009B3B8D" w:rsidP="009B3B8D">
      <w:pPr>
        <w:pStyle w:val="a8"/>
        <w:numPr>
          <w:ilvl w:val="0"/>
          <w:numId w:val="17"/>
        </w:numPr>
        <w:spacing w:after="0" w:line="360" w:lineRule="auto"/>
        <w:ind w:left="1276"/>
        <w:jc w:val="both"/>
        <w:rPr>
          <w:sz w:val="28"/>
          <w:szCs w:val="28"/>
        </w:rPr>
      </w:pPr>
      <w:r w:rsidRPr="008B4EA6">
        <w:rPr>
          <w:sz w:val="28"/>
          <w:szCs w:val="28"/>
        </w:rPr>
        <w:t>сохранение и развитие промышленного и технологического потенциала для будущего роста,</w:t>
      </w:r>
    </w:p>
    <w:p w:rsidR="009B3B8D" w:rsidRPr="008B4EA6" w:rsidRDefault="009B3B8D" w:rsidP="009B3B8D">
      <w:pPr>
        <w:pStyle w:val="a8"/>
        <w:numPr>
          <w:ilvl w:val="0"/>
          <w:numId w:val="17"/>
        </w:numPr>
        <w:spacing w:after="0" w:line="360" w:lineRule="auto"/>
        <w:ind w:left="1276"/>
        <w:jc w:val="both"/>
        <w:rPr>
          <w:sz w:val="28"/>
          <w:szCs w:val="28"/>
        </w:rPr>
      </w:pPr>
      <w:r w:rsidRPr="008B4EA6">
        <w:rPr>
          <w:sz w:val="28"/>
          <w:szCs w:val="28"/>
        </w:rPr>
        <w:t>активизация внутреннего спроса на российские товары как основы для восстановления экономического роста,</w:t>
      </w:r>
    </w:p>
    <w:p w:rsidR="009B3B8D" w:rsidRPr="008B4EA6" w:rsidRDefault="009B3B8D" w:rsidP="009B3B8D">
      <w:pPr>
        <w:pStyle w:val="a8"/>
        <w:numPr>
          <w:ilvl w:val="0"/>
          <w:numId w:val="17"/>
        </w:numPr>
        <w:spacing w:after="0" w:line="360" w:lineRule="auto"/>
        <w:ind w:left="1276"/>
        <w:jc w:val="both"/>
        <w:rPr>
          <w:sz w:val="28"/>
          <w:szCs w:val="28"/>
        </w:rPr>
      </w:pPr>
      <w:r w:rsidRPr="008B4EA6">
        <w:rPr>
          <w:sz w:val="28"/>
          <w:szCs w:val="28"/>
        </w:rPr>
        <w:t>стимулирование инноваций и структурная перестройка экономики,</w:t>
      </w:r>
    </w:p>
    <w:p w:rsidR="009B3B8D" w:rsidRPr="008B4EA6" w:rsidRDefault="009B3B8D" w:rsidP="009B3B8D">
      <w:pPr>
        <w:pStyle w:val="a8"/>
        <w:numPr>
          <w:ilvl w:val="0"/>
          <w:numId w:val="17"/>
        </w:numPr>
        <w:spacing w:after="0" w:line="360" w:lineRule="auto"/>
        <w:ind w:left="1276"/>
        <w:jc w:val="both"/>
        <w:rPr>
          <w:sz w:val="28"/>
          <w:szCs w:val="28"/>
        </w:rPr>
      </w:pPr>
      <w:r w:rsidRPr="008B4EA6">
        <w:rPr>
          <w:sz w:val="28"/>
          <w:szCs w:val="28"/>
        </w:rPr>
        <w:lastRenderedPageBreak/>
        <w:t>создание благоприятных условий для экономического подъема за счет совершенствования важнейших рыночных институтов, снятия барьеров для предпринимательской деятельности,</w:t>
      </w:r>
    </w:p>
    <w:p w:rsidR="009B3B8D" w:rsidRPr="008B4EA6" w:rsidRDefault="009B3B8D" w:rsidP="009B3B8D">
      <w:pPr>
        <w:pStyle w:val="a8"/>
        <w:numPr>
          <w:ilvl w:val="0"/>
          <w:numId w:val="17"/>
        </w:numPr>
        <w:spacing w:after="0" w:line="360" w:lineRule="auto"/>
        <w:ind w:left="1276"/>
        <w:jc w:val="both"/>
        <w:rPr>
          <w:sz w:val="28"/>
          <w:szCs w:val="28"/>
        </w:rPr>
      </w:pPr>
      <w:r w:rsidRPr="008B4EA6">
        <w:rPr>
          <w:sz w:val="28"/>
          <w:szCs w:val="28"/>
        </w:rPr>
        <w:t>формирование мощной финансовой системы как надежной основы для развития национальной экономики,</w:t>
      </w:r>
    </w:p>
    <w:p w:rsidR="009B3B8D" w:rsidRPr="00076A9C" w:rsidRDefault="009B3B8D" w:rsidP="009B3B8D">
      <w:pPr>
        <w:pStyle w:val="a8"/>
        <w:numPr>
          <w:ilvl w:val="0"/>
          <w:numId w:val="17"/>
        </w:numPr>
        <w:spacing w:after="0" w:line="360" w:lineRule="auto"/>
        <w:ind w:left="1276"/>
        <w:jc w:val="both"/>
        <w:rPr>
          <w:sz w:val="28"/>
          <w:szCs w:val="28"/>
        </w:rPr>
      </w:pPr>
      <w:r w:rsidRPr="00076A9C">
        <w:rPr>
          <w:sz w:val="28"/>
          <w:szCs w:val="28"/>
        </w:rPr>
        <w:t>обеспечение макроэкономической стабильности, сохранение доверия российских и иностранных инвесторов.</w:t>
      </w:r>
      <w:r w:rsidRPr="00076A9C">
        <w:rPr>
          <w:rStyle w:val="a7"/>
          <w:sz w:val="28"/>
          <w:szCs w:val="28"/>
        </w:rPr>
        <w:footnoteReference w:id="4"/>
      </w:r>
    </w:p>
    <w:p w:rsidR="00CF247D" w:rsidRDefault="0093789D" w:rsidP="00707363">
      <w:pPr>
        <w:spacing w:after="0" w:line="360" w:lineRule="auto"/>
        <w:ind w:firstLine="851"/>
        <w:jc w:val="both"/>
        <w:rPr>
          <w:sz w:val="28"/>
          <w:szCs w:val="28"/>
        </w:rPr>
      </w:pPr>
      <w:r w:rsidRPr="00076A9C">
        <w:rPr>
          <w:sz w:val="28"/>
          <w:szCs w:val="28"/>
        </w:rPr>
        <w:t xml:space="preserve">Именно за счет имеющихся резервов, накопленных в предыдущие годы, Правительство РФ смогло исполнить свои расходные обязательства и смягчить воздействие кризиса на граждан и экономику в целом. </w:t>
      </w:r>
      <w:r w:rsidR="007B31A1" w:rsidRPr="00076A9C">
        <w:rPr>
          <w:sz w:val="28"/>
          <w:szCs w:val="28"/>
        </w:rPr>
        <w:t>Данные о движении средств Резервного фонда и Фонда национального благосостояния по счету Федерального Казначейства в Банке России в период проведения антикри</w:t>
      </w:r>
      <w:r w:rsidR="00076A9C">
        <w:rPr>
          <w:sz w:val="28"/>
          <w:szCs w:val="28"/>
        </w:rPr>
        <w:t>зисных мер представлены в</w:t>
      </w:r>
      <w:r w:rsidR="002D4E07">
        <w:rPr>
          <w:sz w:val="28"/>
          <w:szCs w:val="28"/>
        </w:rPr>
        <w:t xml:space="preserve"> Приложении 2</w:t>
      </w:r>
      <w:r w:rsidR="007B31A1" w:rsidRPr="00076A9C">
        <w:rPr>
          <w:sz w:val="28"/>
          <w:szCs w:val="28"/>
        </w:rPr>
        <w:t>.</w:t>
      </w:r>
      <w:r w:rsidR="00CF247D">
        <w:rPr>
          <w:sz w:val="28"/>
          <w:szCs w:val="28"/>
        </w:rPr>
        <w:t xml:space="preserve"> Сводные данные об использовании денежных средств фондов представлены в таблице 5.</w:t>
      </w:r>
    </w:p>
    <w:p w:rsidR="00CF247D" w:rsidRPr="00CF247D" w:rsidRDefault="00CF247D" w:rsidP="00CF247D">
      <w:pPr>
        <w:spacing w:after="0"/>
        <w:ind w:firstLine="851"/>
        <w:jc w:val="right"/>
        <w:rPr>
          <w:i/>
          <w:sz w:val="26"/>
          <w:szCs w:val="26"/>
        </w:rPr>
      </w:pPr>
      <w:r w:rsidRPr="00CF247D">
        <w:rPr>
          <w:i/>
          <w:sz w:val="26"/>
          <w:szCs w:val="26"/>
        </w:rPr>
        <w:t>Таблица 5</w:t>
      </w:r>
    </w:p>
    <w:p w:rsidR="00CF247D" w:rsidRPr="00CF247D" w:rsidRDefault="00CF247D" w:rsidP="00CF247D">
      <w:pPr>
        <w:spacing w:after="0"/>
        <w:ind w:firstLine="851"/>
        <w:jc w:val="center"/>
        <w:rPr>
          <w:b/>
          <w:sz w:val="26"/>
          <w:szCs w:val="26"/>
        </w:rPr>
      </w:pPr>
      <w:r w:rsidRPr="00CF247D">
        <w:rPr>
          <w:b/>
          <w:sz w:val="26"/>
          <w:szCs w:val="26"/>
        </w:rPr>
        <w:t>Использование средств Резервного фонда и Фонда национального благосостояния в 2009-2010 гг., млрд. рублей</w:t>
      </w:r>
    </w:p>
    <w:tbl>
      <w:tblPr>
        <w:tblStyle w:val="1-12"/>
        <w:tblW w:w="9180" w:type="dxa"/>
        <w:tblLook w:val="04A0"/>
      </w:tblPr>
      <w:tblGrid>
        <w:gridCol w:w="5637"/>
        <w:gridCol w:w="1771"/>
        <w:gridCol w:w="1772"/>
      </w:tblGrid>
      <w:tr w:rsidR="00CF247D" w:rsidRPr="00F93EF1" w:rsidTr="00F93EF1">
        <w:trPr>
          <w:cnfStyle w:val="100000000000"/>
        </w:trPr>
        <w:tc>
          <w:tcPr>
            <w:cnfStyle w:val="001000000000"/>
            <w:tcW w:w="5637" w:type="dxa"/>
          </w:tcPr>
          <w:p w:rsidR="00CF247D" w:rsidRPr="00F93EF1" w:rsidRDefault="00CF247D" w:rsidP="00707363">
            <w:pPr>
              <w:spacing w:line="360" w:lineRule="auto"/>
              <w:jc w:val="both"/>
              <w:rPr>
                <w:sz w:val="22"/>
                <w:szCs w:val="22"/>
              </w:rPr>
            </w:pPr>
          </w:p>
        </w:tc>
        <w:tc>
          <w:tcPr>
            <w:tcW w:w="1771" w:type="dxa"/>
            <w:vAlign w:val="center"/>
          </w:tcPr>
          <w:p w:rsidR="00CF247D" w:rsidRPr="00F93EF1" w:rsidRDefault="00CF247D" w:rsidP="00F93EF1">
            <w:pPr>
              <w:spacing w:line="360" w:lineRule="auto"/>
              <w:jc w:val="center"/>
              <w:cnfStyle w:val="100000000000"/>
              <w:rPr>
                <w:sz w:val="22"/>
                <w:szCs w:val="22"/>
              </w:rPr>
            </w:pPr>
            <w:r w:rsidRPr="00F93EF1">
              <w:rPr>
                <w:sz w:val="22"/>
                <w:szCs w:val="22"/>
              </w:rPr>
              <w:t>2009</w:t>
            </w:r>
          </w:p>
        </w:tc>
        <w:tc>
          <w:tcPr>
            <w:tcW w:w="1772" w:type="dxa"/>
            <w:vAlign w:val="center"/>
          </w:tcPr>
          <w:p w:rsidR="00CF247D" w:rsidRPr="00F93EF1" w:rsidRDefault="00F93EF1" w:rsidP="00F93EF1">
            <w:pPr>
              <w:spacing w:line="360" w:lineRule="auto"/>
              <w:jc w:val="center"/>
              <w:cnfStyle w:val="100000000000"/>
              <w:rPr>
                <w:sz w:val="22"/>
                <w:szCs w:val="22"/>
              </w:rPr>
            </w:pPr>
            <w:r w:rsidRPr="00F93EF1">
              <w:rPr>
                <w:sz w:val="22"/>
                <w:szCs w:val="22"/>
              </w:rPr>
              <w:t>201</w:t>
            </w:r>
            <w:r w:rsidR="00F326AE">
              <w:rPr>
                <w:sz w:val="22"/>
                <w:szCs w:val="22"/>
              </w:rPr>
              <w:t>0</w:t>
            </w:r>
          </w:p>
        </w:tc>
      </w:tr>
      <w:tr w:rsidR="00CF247D" w:rsidRPr="00F93EF1" w:rsidTr="00F93EF1">
        <w:trPr>
          <w:cnfStyle w:val="000000100000"/>
        </w:trPr>
        <w:tc>
          <w:tcPr>
            <w:cnfStyle w:val="001000000000"/>
            <w:tcW w:w="5637" w:type="dxa"/>
            <w:vAlign w:val="center"/>
          </w:tcPr>
          <w:p w:rsidR="00CF247D" w:rsidRPr="00F93EF1" w:rsidRDefault="00F93EF1" w:rsidP="00F93EF1">
            <w:pPr>
              <w:spacing w:line="276" w:lineRule="auto"/>
              <w:rPr>
                <w:sz w:val="22"/>
                <w:szCs w:val="22"/>
              </w:rPr>
            </w:pPr>
            <w:r w:rsidRPr="00F93EF1">
              <w:rPr>
                <w:sz w:val="22"/>
                <w:szCs w:val="22"/>
              </w:rPr>
              <w:t>Всего</w:t>
            </w:r>
          </w:p>
        </w:tc>
        <w:tc>
          <w:tcPr>
            <w:tcW w:w="1771" w:type="dxa"/>
            <w:vAlign w:val="center"/>
          </w:tcPr>
          <w:p w:rsidR="00CF247D" w:rsidRPr="00F93EF1" w:rsidRDefault="00F93EF1" w:rsidP="00F93EF1">
            <w:pPr>
              <w:spacing w:line="360" w:lineRule="auto"/>
              <w:jc w:val="center"/>
              <w:cnfStyle w:val="000000100000"/>
              <w:rPr>
                <w:sz w:val="22"/>
                <w:szCs w:val="22"/>
              </w:rPr>
            </w:pPr>
            <w:r w:rsidRPr="00F93EF1">
              <w:rPr>
                <w:sz w:val="22"/>
                <w:szCs w:val="22"/>
              </w:rPr>
              <w:t>2945</w:t>
            </w:r>
          </w:p>
        </w:tc>
        <w:tc>
          <w:tcPr>
            <w:tcW w:w="1772" w:type="dxa"/>
            <w:vAlign w:val="center"/>
          </w:tcPr>
          <w:p w:rsidR="00CF247D" w:rsidRPr="00F93EF1" w:rsidRDefault="00F93EF1" w:rsidP="00F93EF1">
            <w:pPr>
              <w:spacing w:line="360" w:lineRule="auto"/>
              <w:jc w:val="center"/>
              <w:cnfStyle w:val="000000100000"/>
              <w:rPr>
                <w:sz w:val="22"/>
                <w:szCs w:val="22"/>
              </w:rPr>
            </w:pPr>
            <w:r w:rsidRPr="00F93EF1">
              <w:rPr>
                <w:sz w:val="22"/>
                <w:szCs w:val="22"/>
              </w:rPr>
              <w:t>1131</w:t>
            </w:r>
          </w:p>
        </w:tc>
      </w:tr>
      <w:tr w:rsidR="00CF247D" w:rsidRPr="00F93EF1" w:rsidTr="00F93EF1">
        <w:trPr>
          <w:cnfStyle w:val="000000010000"/>
        </w:trPr>
        <w:tc>
          <w:tcPr>
            <w:cnfStyle w:val="001000000000"/>
            <w:tcW w:w="5637" w:type="dxa"/>
            <w:vAlign w:val="center"/>
          </w:tcPr>
          <w:p w:rsidR="00CF247D" w:rsidRPr="00F93EF1" w:rsidRDefault="00F93EF1" w:rsidP="00F93EF1">
            <w:pPr>
              <w:spacing w:line="276" w:lineRule="auto"/>
              <w:rPr>
                <w:sz w:val="22"/>
                <w:szCs w:val="22"/>
              </w:rPr>
            </w:pPr>
            <w:r w:rsidRPr="00F93EF1">
              <w:rPr>
                <w:sz w:val="22"/>
                <w:szCs w:val="22"/>
              </w:rPr>
              <w:t>Прямые расходы</w:t>
            </w:r>
          </w:p>
        </w:tc>
        <w:tc>
          <w:tcPr>
            <w:tcW w:w="1771" w:type="dxa"/>
            <w:vAlign w:val="center"/>
          </w:tcPr>
          <w:p w:rsidR="00CF247D" w:rsidRPr="00F93EF1" w:rsidRDefault="00F93EF1" w:rsidP="00F93EF1">
            <w:pPr>
              <w:spacing w:line="360" w:lineRule="auto"/>
              <w:jc w:val="center"/>
              <w:cnfStyle w:val="000000010000"/>
              <w:rPr>
                <w:sz w:val="22"/>
                <w:szCs w:val="22"/>
              </w:rPr>
            </w:pPr>
            <w:r w:rsidRPr="00F93EF1">
              <w:rPr>
                <w:sz w:val="22"/>
                <w:szCs w:val="22"/>
              </w:rPr>
              <w:t>2451</w:t>
            </w:r>
          </w:p>
        </w:tc>
        <w:tc>
          <w:tcPr>
            <w:tcW w:w="1772" w:type="dxa"/>
            <w:vAlign w:val="center"/>
          </w:tcPr>
          <w:p w:rsidR="00CF247D" w:rsidRPr="00F93EF1" w:rsidRDefault="00F93EF1" w:rsidP="00F93EF1">
            <w:pPr>
              <w:spacing w:line="360" w:lineRule="auto"/>
              <w:jc w:val="center"/>
              <w:cnfStyle w:val="000000010000"/>
              <w:rPr>
                <w:sz w:val="22"/>
                <w:szCs w:val="22"/>
              </w:rPr>
            </w:pPr>
            <w:r w:rsidRPr="00F93EF1">
              <w:rPr>
                <w:sz w:val="22"/>
                <w:szCs w:val="22"/>
              </w:rPr>
              <w:t>997</w:t>
            </w:r>
          </w:p>
        </w:tc>
      </w:tr>
      <w:tr w:rsidR="00CF247D" w:rsidRPr="00F93EF1" w:rsidTr="00F93EF1">
        <w:trPr>
          <w:cnfStyle w:val="000000100000"/>
        </w:trPr>
        <w:tc>
          <w:tcPr>
            <w:cnfStyle w:val="001000000000"/>
            <w:tcW w:w="5637" w:type="dxa"/>
            <w:vAlign w:val="center"/>
          </w:tcPr>
          <w:p w:rsidR="00CF247D" w:rsidRPr="00F93EF1" w:rsidRDefault="00F93EF1" w:rsidP="00F93EF1">
            <w:pPr>
              <w:spacing w:line="276" w:lineRule="auto"/>
              <w:ind w:left="284"/>
              <w:rPr>
                <w:b w:val="0"/>
                <w:sz w:val="22"/>
                <w:szCs w:val="22"/>
              </w:rPr>
            </w:pPr>
            <w:r>
              <w:rPr>
                <w:b w:val="0"/>
                <w:sz w:val="22"/>
                <w:szCs w:val="22"/>
              </w:rPr>
              <w:t>трансферты</w:t>
            </w:r>
            <w:r w:rsidRPr="00F93EF1">
              <w:rPr>
                <w:b w:val="0"/>
                <w:sz w:val="22"/>
                <w:szCs w:val="22"/>
              </w:rPr>
              <w:t xml:space="preserve"> в ПФР на софинансирование</w:t>
            </w:r>
          </w:p>
        </w:tc>
        <w:tc>
          <w:tcPr>
            <w:tcW w:w="1771" w:type="dxa"/>
            <w:vAlign w:val="center"/>
          </w:tcPr>
          <w:p w:rsidR="00CF247D" w:rsidRPr="00F93EF1" w:rsidRDefault="00CF247D" w:rsidP="00F93EF1">
            <w:pPr>
              <w:spacing w:line="360" w:lineRule="auto"/>
              <w:jc w:val="center"/>
              <w:cnfStyle w:val="000000100000"/>
              <w:rPr>
                <w:sz w:val="22"/>
                <w:szCs w:val="22"/>
              </w:rPr>
            </w:pPr>
          </w:p>
        </w:tc>
        <w:tc>
          <w:tcPr>
            <w:tcW w:w="1772" w:type="dxa"/>
            <w:vAlign w:val="center"/>
          </w:tcPr>
          <w:p w:rsidR="00CF247D" w:rsidRPr="00F93EF1" w:rsidRDefault="00F93EF1" w:rsidP="00F93EF1">
            <w:pPr>
              <w:spacing w:line="360" w:lineRule="auto"/>
              <w:jc w:val="center"/>
              <w:cnfStyle w:val="000000100000"/>
              <w:rPr>
                <w:sz w:val="22"/>
                <w:szCs w:val="22"/>
              </w:rPr>
            </w:pPr>
            <w:r w:rsidRPr="00F93EF1">
              <w:rPr>
                <w:sz w:val="22"/>
                <w:szCs w:val="22"/>
              </w:rPr>
              <w:t>2,5</w:t>
            </w:r>
          </w:p>
        </w:tc>
      </w:tr>
      <w:tr w:rsidR="00CF247D" w:rsidRPr="00F93EF1" w:rsidTr="00F93EF1">
        <w:trPr>
          <w:cnfStyle w:val="000000010000"/>
        </w:trPr>
        <w:tc>
          <w:tcPr>
            <w:cnfStyle w:val="001000000000"/>
            <w:tcW w:w="5637" w:type="dxa"/>
            <w:vAlign w:val="center"/>
          </w:tcPr>
          <w:p w:rsidR="00CF247D" w:rsidRPr="00F93EF1" w:rsidRDefault="00F93EF1" w:rsidP="00F93EF1">
            <w:pPr>
              <w:spacing w:line="276" w:lineRule="auto"/>
              <w:ind w:left="284"/>
              <w:rPr>
                <w:b w:val="0"/>
                <w:sz w:val="22"/>
                <w:szCs w:val="22"/>
              </w:rPr>
            </w:pPr>
            <w:r>
              <w:rPr>
                <w:b w:val="0"/>
                <w:sz w:val="22"/>
                <w:szCs w:val="22"/>
              </w:rPr>
              <w:t>финансирование</w:t>
            </w:r>
            <w:r w:rsidRPr="00F93EF1">
              <w:rPr>
                <w:b w:val="0"/>
                <w:sz w:val="22"/>
                <w:szCs w:val="22"/>
              </w:rPr>
              <w:t xml:space="preserve"> нефтегазового трансферта и общего дефицита федерального бюджета</w:t>
            </w:r>
          </w:p>
        </w:tc>
        <w:tc>
          <w:tcPr>
            <w:tcW w:w="1771" w:type="dxa"/>
            <w:vAlign w:val="center"/>
          </w:tcPr>
          <w:p w:rsidR="00CF247D" w:rsidRPr="00F93EF1" w:rsidRDefault="00F93EF1" w:rsidP="00F93EF1">
            <w:pPr>
              <w:spacing w:line="360" w:lineRule="auto"/>
              <w:jc w:val="center"/>
              <w:cnfStyle w:val="000000010000"/>
              <w:rPr>
                <w:sz w:val="22"/>
                <w:szCs w:val="22"/>
              </w:rPr>
            </w:pPr>
            <w:r w:rsidRPr="00F93EF1">
              <w:rPr>
                <w:sz w:val="22"/>
                <w:szCs w:val="22"/>
              </w:rPr>
              <w:t>2451</w:t>
            </w:r>
          </w:p>
        </w:tc>
        <w:tc>
          <w:tcPr>
            <w:tcW w:w="1772" w:type="dxa"/>
            <w:vAlign w:val="center"/>
          </w:tcPr>
          <w:p w:rsidR="00CF247D" w:rsidRPr="00F93EF1" w:rsidRDefault="00F93EF1" w:rsidP="00F93EF1">
            <w:pPr>
              <w:spacing w:line="360" w:lineRule="auto"/>
              <w:jc w:val="center"/>
              <w:cnfStyle w:val="000000010000"/>
              <w:rPr>
                <w:sz w:val="22"/>
                <w:szCs w:val="22"/>
              </w:rPr>
            </w:pPr>
            <w:r w:rsidRPr="00F93EF1">
              <w:rPr>
                <w:sz w:val="22"/>
                <w:szCs w:val="22"/>
              </w:rPr>
              <w:t>970</w:t>
            </w:r>
          </w:p>
        </w:tc>
      </w:tr>
      <w:tr w:rsidR="00CF247D" w:rsidRPr="00F93EF1" w:rsidTr="00F93EF1">
        <w:trPr>
          <w:cnfStyle w:val="000000100000"/>
        </w:trPr>
        <w:tc>
          <w:tcPr>
            <w:cnfStyle w:val="001000000000"/>
            <w:tcW w:w="5637" w:type="dxa"/>
            <w:vAlign w:val="center"/>
          </w:tcPr>
          <w:p w:rsidR="00CF247D" w:rsidRPr="00F93EF1" w:rsidRDefault="00F93EF1" w:rsidP="00F93EF1">
            <w:pPr>
              <w:spacing w:line="276" w:lineRule="auto"/>
              <w:ind w:left="284"/>
              <w:rPr>
                <w:b w:val="0"/>
                <w:sz w:val="22"/>
                <w:szCs w:val="22"/>
              </w:rPr>
            </w:pPr>
            <w:r>
              <w:rPr>
                <w:b w:val="0"/>
                <w:sz w:val="22"/>
                <w:szCs w:val="22"/>
              </w:rPr>
              <w:t>покрытие</w:t>
            </w:r>
            <w:r w:rsidRPr="00F93EF1">
              <w:rPr>
                <w:b w:val="0"/>
                <w:sz w:val="22"/>
                <w:szCs w:val="22"/>
              </w:rPr>
              <w:t xml:space="preserve"> дефицита ФСС</w:t>
            </w:r>
          </w:p>
        </w:tc>
        <w:tc>
          <w:tcPr>
            <w:tcW w:w="1771" w:type="dxa"/>
            <w:vAlign w:val="center"/>
          </w:tcPr>
          <w:p w:rsidR="00CF247D" w:rsidRPr="00F93EF1" w:rsidRDefault="00CF247D" w:rsidP="00F93EF1">
            <w:pPr>
              <w:spacing w:line="360" w:lineRule="auto"/>
              <w:jc w:val="center"/>
              <w:cnfStyle w:val="000000100000"/>
              <w:rPr>
                <w:sz w:val="22"/>
                <w:szCs w:val="22"/>
              </w:rPr>
            </w:pPr>
          </w:p>
        </w:tc>
        <w:tc>
          <w:tcPr>
            <w:tcW w:w="1772" w:type="dxa"/>
            <w:vAlign w:val="center"/>
          </w:tcPr>
          <w:p w:rsidR="00CF247D" w:rsidRPr="00F93EF1" w:rsidRDefault="00F93EF1" w:rsidP="00F93EF1">
            <w:pPr>
              <w:spacing w:line="360" w:lineRule="auto"/>
              <w:jc w:val="center"/>
              <w:cnfStyle w:val="000000100000"/>
              <w:rPr>
                <w:sz w:val="22"/>
                <w:szCs w:val="22"/>
              </w:rPr>
            </w:pPr>
            <w:r w:rsidRPr="00F93EF1">
              <w:rPr>
                <w:sz w:val="22"/>
                <w:szCs w:val="22"/>
              </w:rPr>
              <w:t>25</w:t>
            </w:r>
          </w:p>
        </w:tc>
      </w:tr>
      <w:tr w:rsidR="00F93EF1" w:rsidRPr="00F93EF1" w:rsidTr="00F93EF1">
        <w:trPr>
          <w:cnfStyle w:val="000000010000"/>
        </w:trPr>
        <w:tc>
          <w:tcPr>
            <w:cnfStyle w:val="001000000000"/>
            <w:tcW w:w="5637" w:type="dxa"/>
            <w:vAlign w:val="center"/>
          </w:tcPr>
          <w:p w:rsidR="00F93EF1" w:rsidRPr="00F93EF1" w:rsidRDefault="00F93EF1" w:rsidP="00F93EF1">
            <w:pPr>
              <w:spacing w:line="276" w:lineRule="auto"/>
              <w:rPr>
                <w:sz w:val="22"/>
                <w:szCs w:val="22"/>
              </w:rPr>
            </w:pPr>
            <w:r w:rsidRPr="00F93EF1">
              <w:rPr>
                <w:sz w:val="22"/>
                <w:szCs w:val="22"/>
              </w:rPr>
              <w:t>Поддержка финансового сектора</w:t>
            </w:r>
          </w:p>
        </w:tc>
        <w:tc>
          <w:tcPr>
            <w:tcW w:w="1771" w:type="dxa"/>
            <w:vAlign w:val="center"/>
          </w:tcPr>
          <w:p w:rsidR="00F93EF1" w:rsidRPr="00F93EF1" w:rsidRDefault="00F93EF1" w:rsidP="00F93EF1">
            <w:pPr>
              <w:spacing w:line="360" w:lineRule="auto"/>
              <w:jc w:val="center"/>
              <w:cnfStyle w:val="000000010000"/>
              <w:rPr>
                <w:sz w:val="22"/>
                <w:szCs w:val="22"/>
              </w:rPr>
            </w:pPr>
            <w:r w:rsidRPr="00F93EF1">
              <w:rPr>
                <w:sz w:val="22"/>
                <w:szCs w:val="22"/>
              </w:rPr>
              <w:t>494</w:t>
            </w:r>
          </w:p>
        </w:tc>
        <w:tc>
          <w:tcPr>
            <w:tcW w:w="1772" w:type="dxa"/>
            <w:vAlign w:val="center"/>
          </w:tcPr>
          <w:p w:rsidR="00F93EF1" w:rsidRPr="00F93EF1" w:rsidRDefault="00F93EF1" w:rsidP="00F93EF1">
            <w:pPr>
              <w:spacing w:line="360" w:lineRule="auto"/>
              <w:jc w:val="center"/>
              <w:cnfStyle w:val="000000010000"/>
              <w:rPr>
                <w:sz w:val="22"/>
                <w:szCs w:val="22"/>
              </w:rPr>
            </w:pPr>
            <w:r w:rsidRPr="00F93EF1">
              <w:rPr>
                <w:sz w:val="22"/>
                <w:szCs w:val="22"/>
              </w:rPr>
              <w:t>134</w:t>
            </w:r>
          </w:p>
        </w:tc>
      </w:tr>
    </w:tbl>
    <w:p w:rsidR="00CF247D" w:rsidRPr="00F93EF1" w:rsidRDefault="00F93EF1" w:rsidP="00F93EF1">
      <w:pPr>
        <w:pStyle w:val="7"/>
        <w:spacing w:before="0" w:line="240" w:lineRule="auto"/>
        <w:rPr>
          <w:rStyle w:val="af8"/>
        </w:rPr>
      </w:pPr>
      <w:r w:rsidRPr="00F93EF1">
        <w:rPr>
          <w:rStyle w:val="af8"/>
        </w:rPr>
        <w:t xml:space="preserve">Источник: Лебединская Е. Роль нефтегазовых фондов в России </w:t>
      </w:r>
    </w:p>
    <w:p w:rsidR="00F93EF1" w:rsidRDefault="00F93EF1" w:rsidP="00707363">
      <w:pPr>
        <w:spacing w:after="0" w:line="360" w:lineRule="auto"/>
        <w:ind w:firstLine="851"/>
        <w:jc w:val="both"/>
        <w:rPr>
          <w:sz w:val="28"/>
          <w:szCs w:val="28"/>
        </w:rPr>
      </w:pPr>
    </w:p>
    <w:p w:rsidR="007B31A1" w:rsidRDefault="00442C2A" w:rsidP="00707363">
      <w:pPr>
        <w:spacing w:after="0" w:line="360" w:lineRule="auto"/>
        <w:ind w:firstLine="851"/>
        <w:jc w:val="both"/>
        <w:rPr>
          <w:sz w:val="28"/>
          <w:szCs w:val="28"/>
        </w:rPr>
      </w:pPr>
      <w:r>
        <w:rPr>
          <w:sz w:val="28"/>
          <w:szCs w:val="28"/>
        </w:rPr>
        <w:t xml:space="preserve">Общая же динамика объемов средств нефтегазовых фондов в России за период с 2004 года характеризуется существенным ростом </w:t>
      </w:r>
      <w:r>
        <w:rPr>
          <w:sz w:val="28"/>
          <w:szCs w:val="28"/>
        </w:rPr>
        <w:lastRenderedPageBreak/>
        <w:t>резервов в период благоприятной внешнеэкономической конъюнктуры 2004-2008 гг., резким спадом в кризисные годы и постепенным восстановлением в посткризисный период (Рис. 3).</w:t>
      </w:r>
    </w:p>
    <w:p w:rsidR="00F93EF1" w:rsidRPr="00707363" w:rsidRDefault="00F93EF1" w:rsidP="00F93EF1">
      <w:pPr>
        <w:spacing w:after="0"/>
        <w:ind w:firstLine="851"/>
        <w:jc w:val="center"/>
        <w:rPr>
          <w:b/>
          <w:sz w:val="26"/>
          <w:szCs w:val="26"/>
        </w:rPr>
      </w:pPr>
      <w:r w:rsidRPr="00707363">
        <w:rPr>
          <w:b/>
          <w:sz w:val="26"/>
          <w:szCs w:val="26"/>
        </w:rPr>
        <w:t>Динамика средств нефтегазовых фондов в России в 2004-2012 годах, млрд. рублей</w:t>
      </w:r>
    </w:p>
    <w:p w:rsidR="00F93EF1" w:rsidRDefault="00F93EF1" w:rsidP="00F93EF1">
      <w:pPr>
        <w:spacing w:after="0" w:line="360" w:lineRule="auto"/>
        <w:jc w:val="both"/>
        <w:rPr>
          <w:sz w:val="28"/>
          <w:szCs w:val="28"/>
        </w:rPr>
      </w:pPr>
      <w:r w:rsidRPr="00707363">
        <w:rPr>
          <w:noProof/>
          <w:sz w:val="28"/>
          <w:szCs w:val="28"/>
          <w:lang w:eastAsia="ru-RU"/>
        </w:rPr>
        <w:drawing>
          <wp:inline distT="0" distB="0" distL="0" distR="0">
            <wp:extent cx="5759450" cy="3758592"/>
            <wp:effectExtent l="0" t="0" r="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3EF1" w:rsidRPr="00707363" w:rsidRDefault="00F93EF1" w:rsidP="00F93EF1">
      <w:pPr>
        <w:spacing w:after="0" w:line="240" w:lineRule="auto"/>
        <w:rPr>
          <w:rStyle w:val="af8"/>
        </w:rPr>
      </w:pPr>
      <w:r w:rsidRPr="00707363">
        <w:rPr>
          <w:rStyle w:val="af8"/>
        </w:rPr>
        <w:t>Источник: Данные, представленные на официальных сайтах Минфина России и Росстата</w:t>
      </w:r>
    </w:p>
    <w:p w:rsidR="00F93EF1" w:rsidRPr="00076A9C" w:rsidRDefault="00F93EF1" w:rsidP="00F93EF1">
      <w:pPr>
        <w:spacing w:after="0" w:line="360" w:lineRule="auto"/>
        <w:jc w:val="center"/>
        <w:rPr>
          <w:sz w:val="28"/>
          <w:szCs w:val="28"/>
        </w:rPr>
      </w:pPr>
      <w:r>
        <w:rPr>
          <w:sz w:val="28"/>
          <w:szCs w:val="28"/>
        </w:rPr>
        <w:t>Рис. 3</w:t>
      </w:r>
    </w:p>
    <w:p w:rsidR="00F93EF1" w:rsidRPr="00707363" w:rsidRDefault="00F93EF1" w:rsidP="00707363">
      <w:pPr>
        <w:spacing w:after="0" w:line="360" w:lineRule="auto"/>
        <w:ind w:firstLine="851"/>
        <w:jc w:val="both"/>
        <w:rPr>
          <w:sz w:val="28"/>
          <w:szCs w:val="28"/>
        </w:rPr>
      </w:pPr>
    </w:p>
    <w:p w:rsidR="0022489F" w:rsidRPr="00076A9C" w:rsidRDefault="0093789D" w:rsidP="0022489F">
      <w:pPr>
        <w:spacing w:after="0" w:line="360" w:lineRule="auto"/>
        <w:ind w:firstLine="851"/>
        <w:jc w:val="both"/>
        <w:rPr>
          <w:sz w:val="28"/>
          <w:szCs w:val="28"/>
        </w:rPr>
      </w:pPr>
      <w:r w:rsidRPr="00076A9C">
        <w:rPr>
          <w:sz w:val="28"/>
          <w:szCs w:val="28"/>
        </w:rPr>
        <w:t>Однако, несмотря на то, что резервные средства были использованы на покрытие дефицита бюджета и финансирование выпадающих доходов, внутренний сектор российской экономики, по сути, не увидел необходимых инвестиций для р</w:t>
      </w:r>
      <w:r w:rsidR="0022489F" w:rsidRPr="00076A9C">
        <w:rPr>
          <w:sz w:val="28"/>
          <w:szCs w:val="28"/>
        </w:rPr>
        <w:t>азвития в столь сложный период, когда доходы реального сектора смогли бы хотя бы в какой-то мере ком</w:t>
      </w:r>
      <w:r w:rsidR="00F326AE">
        <w:rPr>
          <w:sz w:val="28"/>
          <w:szCs w:val="28"/>
        </w:rPr>
        <w:t>пенсировать недостаток средств в</w:t>
      </w:r>
      <w:r w:rsidR="0022489F" w:rsidRPr="00076A9C">
        <w:rPr>
          <w:sz w:val="28"/>
          <w:szCs w:val="28"/>
        </w:rPr>
        <w:t xml:space="preserve"> связи с неблагоприятной внешнеэкономической конъюнктурой. </w:t>
      </w:r>
    </w:p>
    <w:p w:rsidR="0022489F" w:rsidRDefault="0022489F" w:rsidP="0022489F">
      <w:pPr>
        <w:spacing w:after="0" w:line="360" w:lineRule="auto"/>
        <w:ind w:firstLine="851"/>
        <w:jc w:val="both"/>
        <w:rPr>
          <w:sz w:val="28"/>
          <w:szCs w:val="28"/>
        </w:rPr>
      </w:pPr>
      <w:r w:rsidRPr="00076A9C">
        <w:rPr>
          <w:sz w:val="28"/>
          <w:szCs w:val="28"/>
        </w:rPr>
        <w:t xml:space="preserve">Кроме того, явно негативным фактом оказалось и то, что для поддержания финансовой системы страны были израсходованы и средства </w:t>
      </w:r>
      <w:r w:rsidRPr="00076A9C">
        <w:rPr>
          <w:sz w:val="28"/>
          <w:szCs w:val="28"/>
        </w:rPr>
        <w:lastRenderedPageBreak/>
        <w:t xml:space="preserve">Фонда национального благосостояния (что полностью противоречит целям его создания), так как объем средств Резервного фонда оказался недостаточным для поддержания бюджетных расходов и преодоления кризисной ситуации в экономике. </w:t>
      </w:r>
    </w:p>
    <w:p w:rsidR="00602AEB" w:rsidRDefault="00AB5428" w:rsidP="0022489F">
      <w:pPr>
        <w:spacing w:after="0" w:line="360" w:lineRule="auto"/>
        <w:ind w:firstLine="851"/>
        <w:jc w:val="both"/>
        <w:rPr>
          <w:sz w:val="28"/>
          <w:szCs w:val="28"/>
        </w:rPr>
      </w:pPr>
      <w:r w:rsidRPr="00076A9C">
        <w:rPr>
          <w:sz w:val="28"/>
          <w:szCs w:val="28"/>
        </w:rPr>
        <w:t>В связи с этим работа по пересмотру действовавших механизмов стабилизации, направленная на их модернизацию и совершенствование</w:t>
      </w:r>
      <w:r w:rsidR="0022489F" w:rsidRPr="00076A9C">
        <w:rPr>
          <w:sz w:val="28"/>
          <w:szCs w:val="28"/>
        </w:rPr>
        <w:t xml:space="preserve"> была продолжена</w:t>
      </w:r>
      <w:r w:rsidRPr="00076A9C">
        <w:rPr>
          <w:sz w:val="28"/>
          <w:szCs w:val="28"/>
        </w:rPr>
        <w:t xml:space="preserve">. По результатам проделанной работы было принято решение о переходе к новым бюджетным правилам, об особенностях которых будет рассказано в следующей части данной главы. </w:t>
      </w:r>
    </w:p>
    <w:p w:rsidR="00076A9C" w:rsidRPr="00076A9C" w:rsidRDefault="00076A9C" w:rsidP="0022489F">
      <w:pPr>
        <w:spacing w:after="0" w:line="360" w:lineRule="auto"/>
        <w:ind w:firstLine="851"/>
        <w:jc w:val="both"/>
        <w:rPr>
          <w:sz w:val="28"/>
          <w:szCs w:val="28"/>
        </w:rPr>
      </w:pPr>
    </w:p>
    <w:p w:rsidR="0022489F" w:rsidRPr="00985D29" w:rsidRDefault="00B203C8" w:rsidP="00AD79D2">
      <w:pPr>
        <w:pStyle w:val="2"/>
      </w:pPr>
      <w:bookmarkStart w:id="14" w:name="_Toc356172739"/>
      <w:r w:rsidRPr="00985D29">
        <w:t>2</w:t>
      </w:r>
      <w:r w:rsidR="00E30F5A" w:rsidRPr="00985D29">
        <w:t xml:space="preserve">.3 </w:t>
      </w:r>
      <w:r w:rsidR="0022489F" w:rsidRPr="00985D29">
        <w:t>Новые бюджетные правила</w:t>
      </w:r>
      <w:r w:rsidR="00E30F5A" w:rsidRPr="00985D29">
        <w:t>: с 2013 г.</w:t>
      </w:r>
      <w:bookmarkEnd w:id="14"/>
    </w:p>
    <w:p w:rsidR="0022489F" w:rsidRPr="00076A9C" w:rsidRDefault="0022489F" w:rsidP="0022489F">
      <w:pPr>
        <w:autoSpaceDE w:val="0"/>
        <w:autoSpaceDN w:val="0"/>
        <w:adjustRightInd w:val="0"/>
        <w:spacing w:after="0" w:line="360" w:lineRule="auto"/>
        <w:ind w:firstLine="851"/>
        <w:jc w:val="both"/>
        <w:rPr>
          <w:sz w:val="28"/>
          <w:szCs w:val="28"/>
        </w:rPr>
      </w:pPr>
      <w:r w:rsidRPr="00076A9C">
        <w:rPr>
          <w:sz w:val="28"/>
          <w:szCs w:val="28"/>
        </w:rPr>
        <w:t>Таким образом, мы видим, что в течение первого десятилетия XX</w:t>
      </w:r>
      <w:r w:rsidR="00CA6435" w:rsidRPr="00076A9C">
        <w:rPr>
          <w:sz w:val="28"/>
          <w:szCs w:val="28"/>
          <w:lang w:val="en-US"/>
        </w:rPr>
        <w:t>I</w:t>
      </w:r>
      <w:r w:rsidRPr="00076A9C">
        <w:rPr>
          <w:sz w:val="28"/>
          <w:szCs w:val="28"/>
        </w:rPr>
        <w:t xml:space="preserve"> века Правительством России и Центральным банком на постоянной основе проводилась политика снижения зависимости экономики и бюджетной системы от нефтегазовых доходов. За период 2002-2012 гг. была заложена определенная основа, в том числе и в виде нормативной базы, для эффективного управления нефтегазовыми доходами государства и сбережения их части в специально созданных фондах, с целью стабилизации э</w:t>
      </w:r>
      <w:r w:rsidR="00ED029D" w:rsidRPr="00076A9C">
        <w:rPr>
          <w:sz w:val="28"/>
          <w:szCs w:val="28"/>
        </w:rPr>
        <w:t>кономики страны. Кроме того,</w:t>
      </w:r>
      <w:r w:rsidRPr="00076A9C">
        <w:rPr>
          <w:sz w:val="28"/>
          <w:szCs w:val="28"/>
        </w:rPr>
        <w:t xml:space="preserve"> очень важно,</w:t>
      </w:r>
      <w:r w:rsidR="00ED029D" w:rsidRPr="00076A9C">
        <w:rPr>
          <w:sz w:val="28"/>
          <w:szCs w:val="28"/>
        </w:rPr>
        <w:t xml:space="preserve"> что</w:t>
      </w:r>
      <w:r w:rsidRPr="00076A9C">
        <w:rPr>
          <w:sz w:val="28"/>
          <w:szCs w:val="28"/>
        </w:rPr>
        <w:t xml:space="preserve"> эффективность проводимой политики и ее рациональность был</w:t>
      </w:r>
      <w:r w:rsidR="00ED029D" w:rsidRPr="00076A9C">
        <w:rPr>
          <w:sz w:val="28"/>
          <w:szCs w:val="28"/>
        </w:rPr>
        <w:t>и проверены</w:t>
      </w:r>
      <w:r w:rsidRPr="00076A9C">
        <w:rPr>
          <w:sz w:val="28"/>
          <w:szCs w:val="28"/>
        </w:rPr>
        <w:t xml:space="preserve"> в условиях мирового финансового кризиса, который показал, что наличие резервов позволяет если не полностью, то в значительной мере сгладить негативное воздействие на экономику страны. В связи с этим в посткризисный период продолжился процесс реформировани</w:t>
      </w:r>
      <w:r w:rsidR="00CA6435" w:rsidRPr="00076A9C">
        <w:rPr>
          <w:sz w:val="28"/>
          <w:szCs w:val="28"/>
        </w:rPr>
        <w:t>я</w:t>
      </w:r>
      <w:r w:rsidRPr="00076A9C">
        <w:rPr>
          <w:sz w:val="28"/>
          <w:szCs w:val="28"/>
        </w:rPr>
        <w:t xml:space="preserve"> бюджетной системы, и на</w:t>
      </w:r>
      <w:r w:rsidR="00CA6435" w:rsidRPr="00076A9C">
        <w:rPr>
          <w:sz w:val="28"/>
          <w:szCs w:val="28"/>
        </w:rPr>
        <w:t xml:space="preserve"> основании Бюджетного послания П</w:t>
      </w:r>
      <w:r w:rsidRPr="00076A9C">
        <w:rPr>
          <w:sz w:val="28"/>
          <w:szCs w:val="28"/>
        </w:rPr>
        <w:t xml:space="preserve">резидента </w:t>
      </w:r>
      <w:r w:rsidR="00CA6435" w:rsidRPr="00076A9C">
        <w:rPr>
          <w:sz w:val="28"/>
          <w:szCs w:val="28"/>
        </w:rPr>
        <w:t>Р</w:t>
      </w:r>
      <w:r w:rsidRPr="00076A9C">
        <w:rPr>
          <w:sz w:val="28"/>
          <w:szCs w:val="28"/>
        </w:rPr>
        <w:t>оссийской Федерации о бюджетной политике в 2012-2014 гг. были разработаны новые бюджетные правила по управлению нефтегазовыми доходами фе</w:t>
      </w:r>
      <w:r w:rsidR="00ED029D" w:rsidRPr="00076A9C">
        <w:rPr>
          <w:sz w:val="28"/>
          <w:szCs w:val="28"/>
        </w:rPr>
        <w:t>дерального бюджета, которые</w:t>
      </w:r>
      <w:r w:rsidRPr="00076A9C">
        <w:rPr>
          <w:sz w:val="28"/>
          <w:szCs w:val="28"/>
        </w:rPr>
        <w:t xml:space="preserve"> утверждены Федеральным </w:t>
      </w:r>
      <w:r w:rsidRPr="00076A9C">
        <w:rPr>
          <w:sz w:val="28"/>
          <w:szCs w:val="28"/>
        </w:rPr>
        <w:lastRenderedPageBreak/>
        <w:t xml:space="preserve">законом от 25 декабря 2012 г. </w:t>
      </w:r>
      <w:r w:rsidR="000F77AE" w:rsidRPr="00076A9C">
        <w:rPr>
          <w:sz w:val="28"/>
          <w:szCs w:val="28"/>
        </w:rPr>
        <w:t>№</w:t>
      </w:r>
      <w:r w:rsidRPr="00076A9C">
        <w:rPr>
          <w:sz w:val="28"/>
          <w:szCs w:val="28"/>
        </w:rPr>
        <w:t xml:space="preserve"> 268-ФЗ «О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 </w:t>
      </w:r>
      <w:r w:rsidR="00AD6D42" w:rsidRPr="00076A9C">
        <w:rPr>
          <w:sz w:val="28"/>
          <w:szCs w:val="28"/>
        </w:rPr>
        <w:t>и вступили в силу 1 января 2013</w:t>
      </w:r>
      <w:r w:rsidRPr="00076A9C">
        <w:rPr>
          <w:sz w:val="28"/>
          <w:szCs w:val="28"/>
        </w:rPr>
        <w:t>г.</w:t>
      </w:r>
    </w:p>
    <w:p w:rsidR="0022489F" w:rsidRPr="00076A9C" w:rsidRDefault="0022489F" w:rsidP="0022489F">
      <w:pPr>
        <w:autoSpaceDE w:val="0"/>
        <w:autoSpaceDN w:val="0"/>
        <w:adjustRightInd w:val="0"/>
        <w:spacing w:after="0" w:line="360" w:lineRule="auto"/>
        <w:ind w:firstLine="851"/>
        <w:jc w:val="both"/>
        <w:rPr>
          <w:sz w:val="28"/>
          <w:szCs w:val="28"/>
        </w:rPr>
      </w:pPr>
      <w:r w:rsidRPr="00076A9C">
        <w:rPr>
          <w:sz w:val="28"/>
          <w:szCs w:val="28"/>
        </w:rPr>
        <w:t xml:space="preserve">В основу новых бюджетных правил заложена концепция прогнозирования нефтегазовых доходов федерального бюджета на основании базовой цены на нефть марки </w:t>
      </w:r>
      <w:r w:rsidRPr="00076A9C">
        <w:rPr>
          <w:sz w:val="28"/>
          <w:szCs w:val="28"/>
          <w:lang w:val="en-US"/>
        </w:rPr>
        <w:t>Urals</w:t>
      </w:r>
      <w:r w:rsidRPr="00076A9C">
        <w:rPr>
          <w:sz w:val="28"/>
          <w:szCs w:val="28"/>
        </w:rPr>
        <w:t>. Базовая цена на нефть определяется как скользящая средняя за последние пять лет с ежегодным увеличение расчетного периода на 1 год до достижения 10-летнего периода, то есть если в 2013 году при расчете базовой цены используется динамика мировых цен на нефть за последние пять лет, то к 2018 году расчет будет производиться на основании цен за предыдущие десять лет. Базовая цена будет учитываться при прогнозировании нефтегазовых доходов</w:t>
      </w:r>
      <w:r w:rsidR="00ED029D" w:rsidRPr="00076A9C">
        <w:rPr>
          <w:sz w:val="28"/>
          <w:szCs w:val="28"/>
        </w:rPr>
        <w:t xml:space="preserve"> федерального бюджета. При этом стоит отметить, что Бюджетный</w:t>
      </w:r>
      <w:r w:rsidRPr="00076A9C">
        <w:rPr>
          <w:sz w:val="28"/>
          <w:szCs w:val="28"/>
        </w:rPr>
        <w:t xml:space="preserve"> кодекс </w:t>
      </w:r>
      <w:r w:rsidR="00ED029D" w:rsidRPr="00076A9C">
        <w:rPr>
          <w:sz w:val="28"/>
          <w:szCs w:val="28"/>
        </w:rPr>
        <w:t>к нефтегазовым доходам относит</w:t>
      </w:r>
      <w:r w:rsidRPr="00076A9C">
        <w:rPr>
          <w:sz w:val="28"/>
          <w:szCs w:val="28"/>
        </w:rPr>
        <w:t xml:space="preserve"> доходы федерального бюджета от уплаты (БК РФ, ст. 96.6):</w:t>
      </w:r>
    </w:p>
    <w:p w:rsidR="0022489F" w:rsidRPr="00076A9C" w:rsidRDefault="0022489F" w:rsidP="0022489F">
      <w:pPr>
        <w:pStyle w:val="a8"/>
        <w:numPr>
          <w:ilvl w:val="0"/>
          <w:numId w:val="8"/>
        </w:numPr>
        <w:spacing w:after="0" w:line="360" w:lineRule="auto"/>
        <w:ind w:left="1134"/>
        <w:rPr>
          <w:sz w:val="28"/>
          <w:szCs w:val="28"/>
        </w:rPr>
      </w:pPr>
      <w:r w:rsidRPr="00076A9C">
        <w:rPr>
          <w:sz w:val="28"/>
          <w:szCs w:val="28"/>
        </w:rPr>
        <w:t>налога на добычу полезных ископаемых в виде углеводородного сырья (нефть, газ горючий природный из всех видов месторождений</w:t>
      </w:r>
      <w:r w:rsidR="00EA703E">
        <w:rPr>
          <w:sz w:val="28"/>
          <w:szCs w:val="28"/>
        </w:rPr>
        <w:t xml:space="preserve"> </w:t>
      </w:r>
      <w:r w:rsidRPr="00076A9C">
        <w:rPr>
          <w:sz w:val="28"/>
          <w:szCs w:val="28"/>
        </w:rPr>
        <w:t>углеводородного сырья, газовый конденсат из всех видов месторождений углеводородного сырья);</w:t>
      </w:r>
    </w:p>
    <w:p w:rsidR="0022489F" w:rsidRPr="00076A9C" w:rsidRDefault="0022489F" w:rsidP="0022489F">
      <w:pPr>
        <w:pStyle w:val="a8"/>
        <w:numPr>
          <w:ilvl w:val="0"/>
          <w:numId w:val="8"/>
        </w:numPr>
        <w:spacing w:after="0" w:line="360" w:lineRule="auto"/>
        <w:ind w:left="1134"/>
        <w:rPr>
          <w:sz w:val="28"/>
          <w:szCs w:val="28"/>
        </w:rPr>
      </w:pPr>
      <w:bookmarkStart w:id="15" w:name="p2272"/>
      <w:bookmarkEnd w:id="15"/>
      <w:r w:rsidRPr="00076A9C">
        <w:rPr>
          <w:sz w:val="28"/>
          <w:szCs w:val="28"/>
        </w:rPr>
        <w:t>вывозных таможенных пошлин на нефть сырую;</w:t>
      </w:r>
    </w:p>
    <w:p w:rsidR="0022489F" w:rsidRPr="00076A9C" w:rsidRDefault="0022489F" w:rsidP="0022489F">
      <w:pPr>
        <w:pStyle w:val="a8"/>
        <w:numPr>
          <w:ilvl w:val="0"/>
          <w:numId w:val="8"/>
        </w:numPr>
        <w:spacing w:after="0" w:line="360" w:lineRule="auto"/>
        <w:ind w:left="1134"/>
        <w:rPr>
          <w:sz w:val="28"/>
          <w:szCs w:val="28"/>
        </w:rPr>
      </w:pPr>
      <w:bookmarkStart w:id="16" w:name="p2273"/>
      <w:bookmarkEnd w:id="16"/>
      <w:r w:rsidRPr="00076A9C">
        <w:rPr>
          <w:sz w:val="28"/>
          <w:szCs w:val="28"/>
        </w:rPr>
        <w:t>вывозных таможенных пошлин на газ природный;</w:t>
      </w:r>
    </w:p>
    <w:p w:rsidR="0022489F" w:rsidRPr="00076A9C" w:rsidRDefault="0022489F" w:rsidP="0022489F">
      <w:pPr>
        <w:pStyle w:val="a8"/>
        <w:numPr>
          <w:ilvl w:val="0"/>
          <w:numId w:val="8"/>
        </w:numPr>
        <w:spacing w:after="0" w:line="360" w:lineRule="auto"/>
        <w:ind w:left="1134"/>
        <w:rPr>
          <w:sz w:val="28"/>
          <w:szCs w:val="28"/>
        </w:rPr>
      </w:pPr>
      <w:bookmarkStart w:id="17" w:name="p2274"/>
      <w:bookmarkEnd w:id="17"/>
      <w:r w:rsidRPr="00076A9C">
        <w:rPr>
          <w:sz w:val="28"/>
          <w:szCs w:val="28"/>
        </w:rPr>
        <w:t>вывозных таможенных пошлин на товары, выработанные из нефти.</w:t>
      </w:r>
    </w:p>
    <w:p w:rsidR="0022489F" w:rsidRPr="00076A9C" w:rsidRDefault="0022489F" w:rsidP="0022489F">
      <w:pPr>
        <w:spacing w:after="0" w:line="360" w:lineRule="auto"/>
        <w:ind w:firstLine="851"/>
        <w:jc w:val="both"/>
        <w:rPr>
          <w:sz w:val="28"/>
          <w:szCs w:val="28"/>
        </w:rPr>
      </w:pPr>
      <w:r w:rsidRPr="00076A9C">
        <w:rPr>
          <w:sz w:val="28"/>
          <w:szCs w:val="28"/>
        </w:rPr>
        <w:t xml:space="preserve">Предельный объем расходования средств федерального бюджета на очередной финансовый год определяется как расчетная величина доходов при базовой цене на нефть, увеличенная на 1% ВВП. </w:t>
      </w:r>
    </w:p>
    <w:p w:rsidR="0022489F" w:rsidRPr="00076A9C" w:rsidRDefault="0022489F" w:rsidP="0022489F">
      <w:pPr>
        <w:spacing w:after="0" w:line="360" w:lineRule="auto"/>
        <w:ind w:firstLine="851"/>
        <w:jc w:val="both"/>
        <w:rPr>
          <w:sz w:val="28"/>
          <w:szCs w:val="28"/>
        </w:rPr>
      </w:pPr>
      <w:r w:rsidRPr="00076A9C">
        <w:rPr>
          <w:sz w:val="28"/>
          <w:szCs w:val="28"/>
        </w:rPr>
        <w:t xml:space="preserve">В случае благоприятной внешнеэкономической конъюнктуры, когда мировая цена на нефть превышает базовую, сверхдоходы </w:t>
      </w:r>
      <w:r w:rsidRPr="00076A9C">
        <w:rPr>
          <w:sz w:val="28"/>
          <w:szCs w:val="28"/>
        </w:rPr>
        <w:lastRenderedPageBreak/>
        <w:t xml:space="preserve">нефтегазового сектора будут направляться в Резервный фонд. Зачисление средств в Резервный фонд будет осуществляться до тех пор, пока его величина не достигнет установленной законом верхней границы в 7% ВВП (то есть нормативная величина Резервного фонда снижается на 3 процентных пункта ВВП по отношению к действующим в 2008 году правилам). </w:t>
      </w:r>
    </w:p>
    <w:p w:rsidR="0022489F" w:rsidRPr="00076A9C" w:rsidRDefault="0022489F" w:rsidP="0022489F">
      <w:pPr>
        <w:spacing w:after="0" w:line="360" w:lineRule="auto"/>
        <w:ind w:firstLine="851"/>
        <w:jc w:val="both"/>
        <w:rPr>
          <w:sz w:val="28"/>
          <w:szCs w:val="28"/>
        </w:rPr>
      </w:pPr>
      <w:r w:rsidRPr="00076A9C">
        <w:rPr>
          <w:sz w:val="28"/>
          <w:szCs w:val="28"/>
        </w:rPr>
        <w:t xml:space="preserve">После того, как нормативная величина Резервного фонда будет достигнута, закон о федеральном бюджете должен предусматривать сбережение не менее 50% дополнительных нефтегазовых доходов в Фонде национального благосостояния, а оставшаяся часть сверхдоходов может быть инвестирована в инфраструктурные и иные приоритетные проекты, не влекущие за собой длительных обязательств. </w:t>
      </w:r>
    </w:p>
    <w:p w:rsidR="0022489F" w:rsidRPr="00076A9C" w:rsidRDefault="0022489F" w:rsidP="00076A9C">
      <w:pPr>
        <w:spacing w:after="0" w:line="360" w:lineRule="auto"/>
        <w:ind w:firstLine="851"/>
        <w:jc w:val="both"/>
        <w:rPr>
          <w:sz w:val="28"/>
          <w:szCs w:val="28"/>
        </w:rPr>
      </w:pPr>
      <w:r w:rsidRPr="00076A9C">
        <w:rPr>
          <w:sz w:val="28"/>
          <w:szCs w:val="28"/>
        </w:rPr>
        <w:t>Кроме того, здесь стоит отметить, что с 1 февраля 2016 года Резервный фонд и Фонд национального благосостояния будут также пополняться за счет доходов от управления их средствами, пока же, в соответствии с действующим законодательством</w:t>
      </w:r>
      <w:r w:rsidRPr="00076A9C">
        <w:rPr>
          <w:rStyle w:val="a7"/>
          <w:sz w:val="28"/>
          <w:szCs w:val="28"/>
        </w:rPr>
        <w:footnoteReference w:id="5"/>
      </w:r>
      <w:r w:rsidRPr="00076A9C">
        <w:rPr>
          <w:sz w:val="28"/>
          <w:szCs w:val="28"/>
        </w:rPr>
        <w:t xml:space="preserve"> доходы от управления средствами Фондов направляются на финансовое обеспечение расходов федерального бюджета. В общем виде зачисление нефтегазовых доход</w:t>
      </w:r>
      <w:r w:rsidR="00E30F5A" w:rsidRPr="00076A9C">
        <w:rPr>
          <w:sz w:val="28"/>
          <w:szCs w:val="28"/>
        </w:rPr>
        <w:t>ов</w:t>
      </w:r>
      <w:r w:rsidRPr="00076A9C">
        <w:rPr>
          <w:sz w:val="28"/>
          <w:szCs w:val="28"/>
        </w:rPr>
        <w:t xml:space="preserve"> в федеральный бюджет, Резервный фонд и Фонд национального благосостояния может быть представлено в следующем виде (Рис.</w:t>
      </w:r>
      <w:r w:rsidR="00707363">
        <w:rPr>
          <w:sz w:val="28"/>
          <w:szCs w:val="28"/>
        </w:rPr>
        <w:t xml:space="preserve"> 4</w:t>
      </w:r>
      <w:r w:rsidRPr="00076A9C">
        <w:rPr>
          <w:sz w:val="28"/>
          <w:szCs w:val="28"/>
        </w:rPr>
        <w:t>):</w:t>
      </w:r>
    </w:p>
    <w:p w:rsidR="00CF33EE" w:rsidRDefault="00CF33EE" w:rsidP="0022489F">
      <w:pPr>
        <w:spacing w:after="0" w:line="360" w:lineRule="auto"/>
        <w:jc w:val="center"/>
        <w:rPr>
          <w:b/>
          <w:sz w:val="26"/>
          <w:szCs w:val="26"/>
        </w:rPr>
      </w:pPr>
    </w:p>
    <w:p w:rsidR="00CF33EE" w:rsidRDefault="00CF33EE" w:rsidP="0022489F">
      <w:pPr>
        <w:spacing w:after="0" w:line="360" w:lineRule="auto"/>
        <w:jc w:val="center"/>
        <w:rPr>
          <w:b/>
          <w:sz w:val="26"/>
          <w:szCs w:val="26"/>
        </w:rPr>
      </w:pPr>
    </w:p>
    <w:p w:rsidR="00CF33EE" w:rsidRDefault="00CF33EE" w:rsidP="0022489F">
      <w:pPr>
        <w:spacing w:after="0" w:line="360" w:lineRule="auto"/>
        <w:jc w:val="center"/>
        <w:rPr>
          <w:b/>
          <w:sz w:val="26"/>
          <w:szCs w:val="26"/>
        </w:rPr>
      </w:pPr>
    </w:p>
    <w:p w:rsidR="00CF33EE" w:rsidRDefault="00CF33EE" w:rsidP="0022489F">
      <w:pPr>
        <w:spacing w:after="0" w:line="360" w:lineRule="auto"/>
        <w:jc w:val="center"/>
        <w:rPr>
          <w:b/>
          <w:sz w:val="26"/>
          <w:szCs w:val="26"/>
        </w:rPr>
      </w:pPr>
    </w:p>
    <w:p w:rsidR="00CF33EE" w:rsidRDefault="00CF33EE" w:rsidP="0022489F">
      <w:pPr>
        <w:spacing w:after="0" w:line="360" w:lineRule="auto"/>
        <w:jc w:val="center"/>
        <w:rPr>
          <w:b/>
          <w:sz w:val="26"/>
          <w:szCs w:val="26"/>
        </w:rPr>
      </w:pPr>
    </w:p>
    <w:p w:rsidR="00CF33EE" w:rsidRDefault="00CF33EE" w:rsidP="0022489F">
      <w:pPr>
        <w:spacing w:after="0" w:line="360" w:lineRule="auto"/>
        <w:jc w:val="center"/>
        <w:rPr>
          <w:b/>
          <w:sz w:val="26"/>
          <w:szCs w:val="26"/>
        </w:rPr>
      </w:pPr>
    </w:p>
    <w:p w:rsidR="00CF33EE" w:rsidRDefault="00CF33EE" w:rsidP="0022489F">
      <w:pPr>
        <w:spacing w:after="0" w:line="360" w:lineRule="auto"/>
        <w:jc w:val="center"/>
        <w:rPr>
          <w:b/>
          <w:sz w:val="26"/>
          <w:szCs w:val="26"/>
        </w:rPr>
      </w:pPr>
    </w:p>
    <w:p w:rsidR="00CF33EE" w:rsidRDefault="00CF33EE" w:rsidP="0022489F">
      <w:pPr>
        <w:spacing w:after="0" w:line="360" w:lineRule="auto"/>
        <w:jc w:val="center"/>
        <w:rPr>
          <w:b/>
          <w:sz w:val="26"/>
          <w:szCs w:val="26"/>
        </w:rPr>
      </w:pPr>
    </w:p>
    <w:p w:rsidR="0022489F" w:rsidRPr="00985D29" w:rsidRDefault="0022489F" w:rsidP="0022489F">
      <w:pPr>
        <w:spacing w:after="0" w:line="360" w:lineRule="auto"/>
        <w:jc w:val="center"/>
        <w:rPr>
          <w:b/>
          <w:sz w:val="26"/>
          <w:szCs w:val="26"/>
        </w:rPr>
      </w:pPr>
      <w:r w:rsidRPr="00985D29">
        <w:rPr>
          <w:b/>
          <w:sz w:val="26"/>
          <w:szCs w:val="26"/>
        </w:rPr>
        <w:lastRenderedPageBreak/>
        <w:t>Схема учета нефтегазовых доходов с 2013 года</w:t>
      </w:r>
    </w:p>
    <w:p w:rsidR="0022489F" w:rsidRPr="00985D29" w:rsidRDefault="00023108" w:rsidP="0022489F">
      <w:pPr>
        <w:spacing w:after="0" w:line="360" w:lineRule="auto"/>
        <w:jc w:val="center"/>
        <w:rPr>
          <w:b/>
          <w:sz w:val="26"/>
          <w:szCs w:val="26"/>
        </w:rPr>
      </w:pPr>
      <w:r>
        <w:rPr>
          <w:b/>
          <w:noProof/>
          <w:sz w:val="26"/>
          <w:szCs w:val="26"/>
          <w:lang w:eastAsia="ru-RU"/>
        </w:rPr>
        <w:pict>
          <v:shape id="_x0000_s1056" type="#_x0000_t32" style="position:absolute;left:0;text-align:left;margin-left:55.25pt;margin-top:139.7pt;width:0;height:28.5pt;z-index:251663360" o:connectortype="straight" strokecolor="#95b3d7 [1940]" strokeweight="2.25pt"/>
        </w:pict>
      </w:r>
      <w:r w:rsidR="0022489F" w:rsidRPr="00985D29">
        <w:rPr>
          <w:b/>
          <w:noProof/>
          <w:sz w:val="26"/>
          <w:szCs w:val="26"/>
          <w:lang w:eastAsia="ru-RU"/>
        </w:rPr>
        <w:drawing>
          <wp:inline distT="0" distB="0" distL="0" distR="0">
            <wp:extent cx="5486400" cy="4133850"/>
            <wp:effectExtent l="95250" t="19050" r="76200" b="1905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2489F" w:rsidRPr="00707363" w:rsidRDefault="00707363" w:rsidP="00AD6D42">
      <w:pPr>
        <w:tabs>
          <w:tab w:val="left" w:pos="851"/>
        </w:tabs>
        <w:spacing w:after="0" w:line="360" w:lineRule="auto"/>
        <w:ind w:firstLine="851"/>
        <w:jc w:val="center"/>
        <w:rPr>
          <w:rFonts w:eastAsia="Times New Roman"/>
          <w:sz w:val="28"/>
          <w:szCs w:val="28"/>
          <w:lang w:eastAsia="ru-RU"/>
        </w:rPr>
      </w:pPr>
      <w:r w:rsidRPr="00707363">
        <w:rPr>
          <w:rFonts w:eastAsia="Times New Roman"/>
          <w:sz w:val="28"/>
          <w:szCs w:val="28"/>
          <w:lang w:eastAsia="ru-RU"/>
        </w:rPr>
        <w:t>Рис. 4</w:t>
      </w:r>
    </w:p>
    <w:p w:rsidR="00AD6D42" w:rsidRDefault="00AD6D42" w:rsidP="005521AD">
      <w:pPr>
        <w:tabs>
          <w:tab w:val="left" w:pos="851"/>
        </w:tabs>
        <w:spacing w:after="0" w:line="360" w:lineRule="auto"/>
        <w:ind w:firstLine="851"/>
        <w:jc w:val="both"/>
        <w:rPr>
          <w:rFonts w:eastAsia="Times New Roman"/>
          <w:sz w:val="26"/>
          <w:szCs w:val="26"/>
          <w:lang w:eastAsia="ru-RU"/>
        </w:rPr>
      </w:pPr>
    </w:p>
    <w:p w:rsidR="00C811EB" w:rsidRPr="00076A9C" w:rsidRDefault="005521AD" w:rsidP="005521AD">
      <w:pPr>
        <w:tabs>
          <w:tab w:val="left" w:pos="851"/>
        </w:tabs>
        <w:spacing w:after="0" w:line="360" w:lineRule="auto"/>
        <w:ind w:firstLine="851"/>
        <w:jc w:val="both"/>
        <w:rPr>
          <w:rFonts w:eastAsia="Times New Roman"/>
          <w:sz w:val="28"/>
          <w:szCs w:val="28"/>
          <w:lang w:eastAsia="ru-RU"/>
        </w:rPr>
      </w:pPr>
      <w:r w:rsidRPr="00076A9C">
        <w:rPr>
          <w:rFonts w:eastAsia="Times New Roman"/>
          <w:sz w:val="28"/>
          <w:szCs w:val="28"/>
          <w:lang w:eastAsia="ru-RU"/>
        </w:rPr>
        <w:t>Таким образом, мне бы хотелось отметить, что в данной главе мною были изучены основные тенденции в сфере бюджетного законодательства, касающиеся управления нефтегазовыми доходами федерального бюджета и их использования, за период с начала 2000-х годов. Приведенные данные свидетельствуют о постоянно проводимой работе по выработке наиболее оптимальн</w:t>
      </w:r>
      <w:r w:rsidR="00F326AE">
        <w:rPr>
          <w:rFonts w:eastAsia="Times New Roman"/>
          <w:sz w:val="28"/>
          <w:szCs w:val="28"/>
          <w:lang w:eastAsia="ru-RU"/>
        </w:rPr>
        <w:t>ых механизмов бюджетной политики</w:t>
      </w:r>
      <w:r w:rsidRPr="00076A9C">
        <w:rPr>
          <w:rFonts w:eastAsia="Times New Roman"/>
          <w:sz w:val="28"/>
          <w:szCs w:val="28"/>
          <w:lang w:eastAsia="ru-RU"/>
        </w:rPr>
        <w:t xml:space="preserve">, способствующих смягчению негативных шоков на мировых сырьевых рынках и снижению зависимости бюджетной системы России от внешнеэкономической конъюнктуры. </w:t>
      </w:r>
    </w:p>
    <w:p w:rsidR="005521AD" w:rsidRPr="00076A9C" w:rsidRDefault="00C811EB" w:rsidP="005521AD">
      <w:pPr>
        <w:tabs>
          <w:tab w:val="left" w:pos="851"/>
        </w:tabs>
        <w:spacing w:after="0" w:line="360" w:lineRule="auto"/>
        <w:ind w:firstLine="851"/>
        <w:jc w:val="both"/>
        <w:rPr>
          <w:rFonts w:eastAsia="Times New Roman"/>
          <w:sz w:val="28"/>
          <w:szCs w:val="28"/>
          <w:lang w:eastAsia="ru-RU"/>
        </w:rPr>
      </w:pPr>
      <w:r w:rsidRPr="00076A9C">
        <w:rPr>
          <w:rFonts w:eastAsia="Times New Roman"/>
          <w:sz w:val="28"/>
          <w:szCs w:val="28"/>
          <w:lang w:eastAsia="ru-RU"/>
        </w:rPr>
        <w:t>Анализ эффективности новых бюджетных правил и оценка целесообразности их введения приведены в следующей части данной работы.</w:t>
      </w:r>
    </w:p>
    <w:p w:rsidR="008A7369" w:rsidRPr="00985D29" w:rsidRDefault="008A7369" w:rsidP="00AD79D2">
      <w:pPr>
        <w:pStyle w:val="1"/>
      </w:pPr>
      <w:bookmarkStart w:id="18" w:name="_Toc356172740"/>
      <w:r w:rsidRPr="00985D29">
        <w:lastRenderedPageBreak/>
        <w:t>Глава 3. Целесообразность введения новых бюджетных правил и оценка их эффективности</w:t>
      </w:r>
      <w:bookmarkEnd w:id="18"/>
    </w:p>
    <w:p w:rsidR="008A7369" w:rsidRPr="00076A9C" w:rsidRDefault="008A7369" w:rsidP="008A7369">
      <w:pPr>
        <w:spacing w:after="0" w:line="360" w:lineRule="auto"/>
        <w:ind w:firstLine="851"/>
        <w:jc w:val="both"/>
        <w:rPr>
          <w:sz w:val="28"/>
          <w:szCs w:val="28"/>
        </w:rPr>
      </w:pPr>
      <w:r w:rsidRPr="00076A9C">
        <w:rPr>
          <w:sz w:val="28"/>
          <w:szCs w:val="28"/>
        </w:rPr>
        <w:t xml:space="preserve">Как уже отмечалось ранее, общей предпосылкой для установления специальных правил управления нефтегазовыми доходами служит сочетание важной роли, которую играет в российской экономике добыча и экспорт углеводородов с непредсказуемыми колебаниями их цен. </w:t>
      </w:r>
    </w:p>
    <w:p w:rsidR="008A7369" w:rsidRPr="00076A9C" w:rsidRDefault="008A7369" w:rsidP="008A7369">
      <w:pPr>
        <w:spacing w:after="0" w:line="360" w:lineRule="auto"/>
        <w:ind w:firstLine="851"/>
        <w:jc w:val="both"/>
        <w:rPr>
          <w:sz w:val="28"/>
          <w:szCs w:val="28"/>
        </w:rPr>
      </w:pPr>
      <w:r w:rsidRPr="00076A9C">
        <w:rPr>
          <w:sz w:val="28"/>
          <w:szCs w:val="28"/>
        </w:rPr>
        <w:t xml:space="preserve">Бюджетная политика в 2000-е годы долгое время определялась воспоминаниями о болезненном кризисе 1998 года, когда падение цен на нефть до уровня 12 долларов за баррель привело к острому долговому и валютному кризису (Гурвич, 2012). После этого с целью стабилизации экономики и обеспечения сбалансированности бюджетной системы проводилась политика по сокращению государственных расходов и введению бюджетных правил, которые предусматривали сбережение части нефтяных доходов при повышении мировых цен на углеводороды с тем, чтобы можно было покрыть потери бюджета в случае нового снижения их цен. Последовательное удорожание нефти и газа вплоть до рекордно высоких значений, зафиксированных в середине 2008 года, когда цена на нефть марки </w:t>
      </w:r>
      <w:r w:rsidRPr="00076A9C">
        <w:rPr>
          <w:sz w:val="28"/>
          <w:szCs w:val="28"/>
          <w:lang w:val="en-US"/>
        </w:rPr>
        <w:t>Urals</w:t>
      </w:r>
      <w:r w:rsidRPr="00076A9C">
        <w:rPr>
          <w:sz w:val="28"/>
          <w:szCs w:val="28"/>
        </w:rPr>
        <w:t xml:space="preserve"> возросла до 141 доллара за баррель </w:t>
      </w:r>
      <w:r w:rsidRPr="00076A9C">
        <w:rPr>
          <w:rFonts w:eastAsia="NewtonC"/>
          <w:sz w:val="28"/>
          <w:szCs w:val="28"/>
        </w:rPr>
        <w:t>(Energy</w:t>
      </w:r>
      <w:r w:rsidR="00EA703E">
        <w:rPr>
          <w:rFonts w:eastAsia="NewtonC"/>
          <w:sz w:val="28"/>
          <w:szCs w:val="28"/>
        </w:rPr>
        <w:t xml:space="preserve"> </w:t>
      </w:r>
      <w:r w:rsidRPr="00076A9C">
        <w:rPr>
          <w:rFonts w:eastAsia="NewtonC"/>
          <w:sz w:val="28"/>
          <w:szCs w:val="28"/>
        </w:rPr>
        <w:t>Information</w:t>
      </w:r>
      <w:r w:rsidR="00EA703E">
        <w:rPr>
          <w:rFonts w:eastAsia="NewtonC"/>
          <w:sz w:val="28"/>
          <w:szCs w:val="28"/>
        </w:rPr>
        <w:t xml:space="preserve"> </w:t>
      </w:r>
      <w:r w:rsidRPr="00076A9C">
        <w:rPr>
          <w:rFonts w:eastAsia="NewtonC"/>
          <w:sz w:val="28"/>
          <w:szCs w:val="28"/>
        </w:rPr>
        <w:t>Administration (EIA), 2012)</w:t>
      </w:r>
      <w:r w:rsidRPr="00076A9C">
        <w:rPr>
          <w:sz w:val="28"/>
          <w:szCs w:val="28"/>
        </w:rPr>
        <w:t xml:space="preserve">, а цена на газ достигла уровня 576 долларов за тысячу кубометров </w:t>
      </w:r>
      <w:r w:rsidRPr="00076A9C">
        <w:rPr>
          <w:rFonts w:eastAsia="NewtonC"/>
          <w:sz w:val="28"/>
          <w:szCs w:val="28"/>
        </w:rPr>
        <w:t>(International</w:t>
      </w:r>
      <w:r w:rsidR="00EA703E">
        <w:rPr>
          <w:rFonts w:eastAsia="NewtonC"/>
          <w:sz w:val="28"/>
          <w:szCs w:val="28"/>
        </w:rPr>
        <w:t xml:space="preserve"> </w:t>
      </w:r>
      <w:r w:rsidRPr="00076A9C">
        <w:rPr>
          <w:rFonts w:eastAsia="NewtonC"/>
          <w:sz w:val="28"/>
          <w:szCs w:val="28"/>
        </w:rPr>
        <w:t>Monetary</w:t>
      </w:r>
      <w:r w:rsidR="00EA703E">
        <w:rPr>
          <w:rFonts w:eastAsia="NewtonC"/>
          <w:sz w:val="28"/>
          <w:szCs w:val="28"/>
        </w:rPr>
        <w:t xml:space="preserve"> </w:t>
      </w:r>
      <w:r w:rsidRPr="00076A9C">
        <w:rPr>
          <w:rFonts w:eastAsia="NewtonC"/>
          <w:sz w:val="28"/>
          <w:szCs w:val="28"/>
        </w:rPr>
        <w:t xml:space="preserve">Fund (IMF), 2012), </w:t>
      </w:r>
      <w:r w:rsidRPr="00076A9C">
        <w:rPr>
          <w:sz w:val="28"/>
          <w:szCs w:val="28"/>
        </w:rPr>
        <w:t>привело к тому, что бюджет устойчиво исполнялся с профицитом, размеры которого в 2004-2008 гг. составляли от 4 до 8% ВВП</w:t>
      </w:r>
      <w:r w:rsidRPr="00076A9C">
        <w:rPr>
          <w:rStyle w:val="a7"/>
          <w:sz w:val="28"/>
          <w:szCs w:val="28"/>
        </w:rPr>
        <w:footnoteReference w:id="6"/>
      </w:r>
      <w:r w:rsidRPr="00076A9C">
        <w:rPr>
          <w:sz w:val="28"/>
          <w:szCs w:val="28"/>
        </w:rPr>
        <w:t xml:space="preserve">. </w:t>
      </w:r>
    </w:p>
    <w:p w:rsidR="008A7369" w:rsidRPr="00076A9C" w:rsidRDefault="008A7369" w:rsidP="008A7369">
      <w:pPr>
        <w:spacing w:after="0" w:line="360" w:lineRule="auto"/>
        <w:ind w:firstLine="851"/>
        <w:jc w:val="both"/>
        <w:rPr>
          <w:sz w:val="28"/>
          <w:szCs w:val="28"/>
        </w:rPr>
      </w:pPr>
      <w:r w:rsidRPr="00076A9C">
        <w:rPr>
          <w:sz w:val="28"/>
          <w:szCs w:val="28"/>
        </w:rPr>
        <w:t>Однако в 2009 году международный финансовый кризис резко сократил бюджетные доходы, а у</w:t>
      </w:r>
      <w:r w:rsidRPr="00076A9C">
        <w:rPr>
          <w:rFonts w:eastAsia="Calibri"/>
          <w:sz w:val="28"/>
          <w:szCs w:val="28"/>
        </w:rPr>
        <w:t>силия властей по смягчению последствий кризиса посредством принятия дополнительных расходных обязательств заметно усилили риски неустойчивости бюджетной системы. В</w:t>
      </w:r>
      <w:r w:rsidRPr="00076A9C">
        <w:rPr>
          <w:sz w:val="28"/>
          <w:szCs w:val="28"/>
        </w:rPr>
        <w:t xml:space="preserve"> чрезвычайных условиях глобального экономического кризиса</w:t>
      </w:r>
      <w:r w:rsidR="00EA703E">
        <w:rPr>
          <w:sz w:val="28"/>
          <w:szCs w:val="28"/>
        </w:rPr>
        <w:t xml:space="preserve"> </w:t>
      </w:r>
      <w:r w:rsidRPr="00076A9C">
        <w:rPr>
          <w:sz w:val="28"/>
          <w:szCs w:val="28"/>
        </w:rPr>
        <w:t xml:space="preserve">произошел </w:t>
      </w:r>
      <w:r w:rsidRPr="00076A9C">
        <w:rPr>
          <w:sz w:val="28"/>
          <w:szCs w:val="28"/>
        </w:rPr>
        <w:lastRenderedPageBreak/>
        <w:t xml:space="preserve">отход от бюджетных правил: </w:t>
      </w:r>
      <w:r w:rsidRPr="00076A9C">
        <w:rPr>
          <w:rFonts w:eastAsia="Calibri"/>
          <w:sz w:val="28"/>
          <w:szCs w:val="28"/>
        </w:rPr>
        <w:t xml:space="preserve">бюджетные доходы, получаемые за счет высоких текущих цен на нефть, стали направляться не в Резервный фонд и Фонд национального благосостояния, а на финансирование текущих расходов федерального бюджета. </w:t>
      </w:r>
    </w:p>
    <w:p w:rsidR="008A7369" w:rsidRPr="00076A9C" w:rsidRDefault="008A7369" w:rsidP="008A7369">
      <w:pPr>
        <w:spacing w:after="0" w:line="360" w:lineRule="auto"/>
        <w:ind w:firstLine="851"/>
        <w:jc w:val="both"/>
        <w:rPr>
          <w:sz w:val="28"/>
          <w:szCs w:val="28"/>
        </w:rPr>
      </w:pPr>
      <w:r w:rsidRPr="00076A9C">
        <w:rPr>
          <w:sz w:val="28"/>
          <w:szCs w:val="28"/>
        </w:rPr>
        <w:t>При этом стоит отметить, что наращивание расходов в посткризисный период не всегда диктовалось логикой противодействия кризису. Так, значительная часть дополнительных расходов носила не разовый (как принято в рамках антикризисных программ), а долгосрочный характер. Например, расходы пенсионной системы были увеличены более чем на три процентных пункта ВВП.</w:t>
      </w:r>
      <w:r w:rsidRPr="00076A9C">
        <w:rPr>
          <w:rStyle w:val="a7"/>
          <w:sz w:val="28"/>
          <w:szCs w:val="28"/>
        </w:rPr>
        <w:footnoteReference w:id="7"/>
      </w:r>
      <w:r w:rsidRPr="00076A9C">
        <w:rPr>
          <w:sz w:val="28"/>
          <w:szCs w:val="28"/>
        </w:rPr>
        <w:t xml:space="preserve"> Кроме того, были </w:t>
      </w:r>
      <w:r w:rsidRPr="00076A9C">
        <w:rPr>
          <w:rFonts w:eastAsia="Calibri"/>
          <w:sz w:val="28"/>
          <w:szCs w:val="28"/>
        </w:rPr>
        <w:t xml:space="preserve">приняты политические решения о финансировании масштабных инфраструктурных проектов в рамках подготовки к зимним Олимпийским играм </w:t>
      </w:r>
      <w:smartTag w:uri="urn:schemas-microsoft-com:office:smarttags" w:element="metricconverter">
        <w:smartTagPr>
          <w:attr w:name="ProductID" w:val="2014 г"/>
        </w:smartTagPr>
        <w:r w:rsidRPr="00076A9C">
          <w:rPr>
            <w:rFonts w:eastAsia="Calibri"/>
            <w:sz w:val="28"/>
            <w:szCs w:val="28"/>
          </w:rPr>
          <w:t>2014 г</w:t>
        </w:r>
      </w:smartTag>
      <w:r w:rsidRPr="00076A9C">
        <w:rPr>
          <w:rFonts w:eastAsia="Calibri"/>
          <w:sz w:val="28"/>
          <w:szCs w:val="28"/>
        </w:rPr>
        <w:t xml:space="preserve">. в г. Сочи, проведению саммита АТЭС во Владивостоке в сентябре </w:t>
      </w:r>
      <w:smartTag w:uri="urn:schemas-microsoft-com:office:smarttags" w:element="metricconverter">
        <w:smartTagPr>
          <w:attr w:name="ProductID" w:val="2012 г"/>
        </w:smartTagPr>
        <w:r w:rsidRPr="00076A9C">
          <w:rPr>
            <w:rFonts w:eastAsia="Calibri"/>
            <w:sz w:val="28"/>
            <w:szCs w:val="28"/>
          </w:rPr>
          <w:t>2012 г</w:t>
        </w:r>
      </w:smartTag>
      <w:r w:rsidRPr="00076A9C">
        <w:rPr>
          <w:rFonts w:eastAsia="Calibri"/>
          <w:sz w:val="28"/>
          <w:szCs w:val="28"/>
        </w:rPr>
        <w:t xml:space="preserve">., чемпионата мира по футболу в </w:t>
      </w:r>
      <w:smartTag w:uri="urn:schemas-microsoft-com:office:smarttags" w:element="metricconverter">
        <w:smartTagPr>
          <w:attr w:name="ProductID" w:val="2018 г"/>
        </w:smartTagPr>
        <w:r w:rsidRPr="00076A9C">
          <w:rPr>
            <w:rFonts w:eastAsia="Calibri"/>
            <w:sz w:val="28"/>
            <w:szCs w:val="28"/>
          </w:rPr>
          <w:t>2018 г</w:t>
        </w:r>
      </w:smartTag>
      <w:r w:rsidRPr="00076A9C">
        <w:rPr>
          <w:sz w:val="28"/>
          <w:szCs w:val="28"/>
        </w:rPr>
        <w:t>.</w:t>
      </w:r>
      <w:r w:rsidRPr="00076A9C">
        <w:rPr>
          <w:rStyle w:val="a7"/>
          <w:sz w:val="28"/>
          <w:szCs w:val="28"/>
        </w:rPr>
        <w:footnoteReference w:id="8"/>
      </w:r>
    </w:p>
    <w:p w:rsidR="008A7369" w:rsidRPr="00076A9C" w:rsidRDefault="008A7369" w:rsidP="008A7369">
      <w:pPr>
        <w:spacing w:after="0" w:line="360" w:lineRule="auto"/>
        <w:ind w:firstLine="851"/>
        <w:jc w:val="both"/>
        <w:rPr>
          <w:rFonts w:eastAsia="Calibri"/>
          <w:sz w:val="28"/>
          <w:szCs w:val="28"/>
        </w:rPr>
      </w:pPr>
      <w:r w:rsidRPr="00076A9C">
        <w:rPr>
          <w:rFonts w:eastAsia="Calibri"/>
          <w:sz w:val="28"/>
          <w:szCs w:val="28"/>
        </w:rPr>
        <w:t>Все эти обстоятельства заметно усиливают существующие риски неустойчивости бюджетной системы</w:t>
      </w:r>
      <w:r w:rsidRPr="00076A9C">
        <w:rPr>
          <w:sz w:val="28"/>
          <w:szCs w:val="28"/>
        </w:rPr>
        <w:t>, такие как</w:t>
      </w:r>
      <w:r w:rsidRPr="00076A9C">
        <w:rPr>
          <w:rFonts w:eastAsia="Calibri"/>
          <w:sz w:val="28"/>
          <w:szCs w:val="28"/>
        </w:rPr>
        <w:t xml:space="preserve">: </w:t>
      </w:r>
    </w:p>
    <w:p w:rsidR="008A7369" w:rsidRPr="00076A9C" w:rsidRDefault="008A7369" w:rsidP="008A7369">
      <w:pPr>
        <w:pStyle w:val="11"/>
        <w:numPr>
          <w:ilvl w:val="0"/>
          <w:numId w:val="9"/>
        </w:numPr>
        <w:spacing w:after="0" w:line="360" w:lineRule="auto"/>
        <w:jc w:val="both"/>
        <w:rPr>
          <w:rFonts w:ascii="Times New Roman" w:hAnsi="Times New Roman"/>
          <w:bCs/>
          <w:iCs/>
          <w:sz w:val="28"/>
          <w:szCs w:val="28"/>
        </w:rPr>
      </w:pPr>
      <w:r w:rsidRPr="00076A9C">
        <w:rPr>
          <w:rFonts w:ascii="Times New Roman" w:hAnsi="Times New Roman"/>
          <w:bCs/>
          <w:iCs/>
          <w:sz w:val="28"/>
          <w:szCs w:val="28"/>
        </w:rPr>
        <w:t>вероятность сохранения дефицита федерального бюджета даже при высоких текущих ценах на нефть;</w:t>
      </w:r>
    </w:p>
    <w:p w:rsidR="008A7369" w:rsidRPr="00076A9C" w:rsidRDefault="008A7369" w:rsidP="008A7369">
      <w:pPr>
        <w:pStyle w:val="11"/>
        <w:numPr>
          <w:ilvl w:val="0"/>
          <w:numId w:val="9"/>
        </w:numPr>
        <w:spacing w:after="0" w:line="360" w:lineRule="auto"/>
        <w:jc w:val="both"/>
        <w:rPr>
          <w:rFonts w:ascii="Times New Roman" w:hAnsi="Times New Roman"/>
          <w:bCs/>
          <w:iCs/>
          <w:sz w:val="28"/>
          <w:szCs w:val="28"/>
        </w:rPr>
      </w:pPr>
      <w:r w:rsidRPr="00076A9C">
        <w:rPr>
          <w:rFonts w:ascii="Times New Roman" w:hAnsi="Times New Roman"/>
          <w:bCs/>
          <w:iCs/>
          <w:sz w:val="28"/>
          <w:szCs w:val="28"/>
        </w:rPr>
        <w:t>невозможность существенного сокращения имеющихся социальных обязательств, а также перспектива роста расходов в связи с неблагоприятным демографическим трендом в условиях несбалансированности Пенсионного фонда;</w:t>
      </w:r>
    </w:p>
    <w:p w:rsidR="008A7369" w:rsidRPr="00076A9C" w:rsidRDefault="008A7369" w:rsidP="008A7369">
      <w:pPr>
        <w:pStyle w:val="11"/>
        <w:numPr>
          <w:ilvl w:val="0"/>
          <w:numId w:val="9"/>
        </w:numPr>
        <w:spacing w:after="0" w:line="360" w:lineRule="auto"/>
        <w:jc w:val="both"/>
        <w:rPr>
          <w:rFonts w:ascii="Times New Roman" w:hAnsi="Times New Roman"/>
          <w:bCs/>
          <w:iCs/>
          <w:sz w:val="28"/>
          <w:szCs w:val="28"/>
        </w:rPr>
      </w:pPr>
      <w:r w:rsidRPr="00076A9C">
        <w:rPr>
          <w:rFonts w:ascii="Times New Roman" w:hAnsi="Times New Roman"/>
          <w:bCs/>
          <w:iCs/>
          <w:sz w:val="28"/>
          <w:szCs w:val="28"/>
        </w:rPr>
        <w:t>нежелательность повышения налоговой нагрузки на экономику, вероятное сокращение доходов бюджета в среднесрочной перспективе;</w:t>
      </w:r>
    </w:p>
    <w:p w:rsidR="008A7369" w:rsidRPr="00076A9C" w:rsidRDefault="008A7369" w:rsidP="008A7369">
      <w:pPr>
        <w:pStyle w:val="11"/>
        <w:numPr>
          <w:ilvl w:val="0"/>
          <w:numId w:val="9"/>
        </w:numPr>
        <w:spacing w:after="0" w:line="360" w:lineRule="auto"/>
        <w:jc w:val="both"/>
        <w:rPr>
          <w:rFonts w:ascii="Times New Roman" w:hAnsi="Times New Roman"/>
          <w:bCs/>
          <w:iCs/>
          <w:sz w:val="28"/>
          <w:szCs w:val="28"/>
        </w:rPr>
      </w:pPr>
      <w:r w:rsidRPr="00076A9C">
        <w:rPr>
          <w:rFonts w:ascii="Times New Roman" w:hAnsi="Times New Roman"/>
          <w:bCs/>
          <w:iCs/>
          <w:sz w:val="28"/>
          <w:szCs w:val="28"/>
        </w:rPr>
        <w:lastRenderedPageBreak/>
        <w:t>ограниченные возможности для структурного маневра в целях модернизации экономики.</w:t>
      </w:r>
    </w:p>
    <w:p w:rsidR="008A7369" w:rsidRPr="00AA562D" w:rsidRDefault="008A7369" w:rsidP="008A7369">
      <w:pPr>
        <w:spacing w:after="0" w:line="360" w:lineRule="auto"/>
        <w:ind w:firstLine="851"/>
        <w:jc w:val="both"/>
        <w:rPr>
          <w:sz w:val="28"/>
          <w:szCs w:val="28"/>
        </w:rPr>
      </w:pPr>
      <w:r w:rsidRPr="00AA562D">
        <w:rPr>
          <w:sz w:val="28"/>
          <w:szCs w:val="28"/>
        </w:rPr>
        <w:t>В настоящее время нефтегазовый сектор обеспечивает примерно 2/3 российского экспорта и около половины поступлений в федеральный бюджет</w:t>
      </w:r>
      <w:r w:rsidR="00ED029D" w:rsidRPr="00AA562D">
        <w:rPr>
          <w:rStyle w:val="a7"/>
          <w:sz w:val="28"/>
          <w:szCs w:val="28"/>
        </w:rPr>
        <w:footnoteReference w:id="9"/>
      </w:r>
      <w:r w:rsidRPr="00AA562D">
        <w:rPr>
          <w:sz w:val="28"/>
          <w:szCs w:val="28"/>
        </w:rPr>
        <w:t>. Как следствие, основные бюджетные и макроэкономические параметры в значительной степени зависят от неустойчивой и трудно прогнозируемой внешнеэкономической конъюнктуры, прежде всего, динамики мировых цен на нефть.</w:t>
      </w:r>
    </w:p>
    <w:p w:rsidR="0004073F" w:rsidRPr="00AA562D" w:rsidRDefault="008A7369" w:rsidP="0004073F">
      <w:pPr>
        <w:spacing w:after="0" w:line="360" w:lineRule="auto"/>
        <w:ind w:firstLine="851"/>
        <w:jc w:val="both"/>
        <w:rPr>
          <w:sz w:val="28"/>
          <w:szCs w:val="28"/>
        </w:rPr>
      </w:pPr>
      <w:r w:rsidRPr="00AA562D">
        <w:rPr>
          <w:sz w:val="28"/>
          <w:szCs w:val="28"/>
        </w:rPr>
        <w:t>В целом за последнее десятилетие зависимость федерального бюджета и бюджетной системы Российской Федерации от нефтегазовых доходов существенно выросла. Если в 2006 году федеральный бюджет мог быть свед</w:t>
      </w:r>
      <w:r w:rsidR="00AA562D">
        <w:rPr>
          <w:sz w:val="28"/>
          <w:szCs w:val="28"/>
        </w:rPr>
        <w:t xml:space="preserve">ен без дефицита при цене нефти </w:t>
      </w:r>
      <w:r w:rsidRPr="00AA562D">
        <w:rPr>
          <w:sz w:val="28"/>
          <w:szCs w:val="28"/>
        </w:rPr>
        <w:t xml:space="preserve">24,6 </w:t>
      </w:r>
      <w:r w:rsidR="00AA562D">
        <w:rPr>
          <w:sz w:val="28"/>
          <w:szCs w:val="28"/>
        </w:rPr>
        <w:t xml:space="preserve">долл. </w:t>
      </w:r>
      <w:r w:rsidRPr="00AA562D">
        <w:rPr>
          <w:sz w:val="28"/>
          <w:szCs w:val="28"/>
        </w:rPr>
        <w:t>за баррель, в 2011-ом профиц</w:t>
      </w:r>
      <w:r w:rsidR="00AA562D">
        <w:rPr>
          <w:sz w:val="28"/>
          <w:szCs w:val="28"/>
        </w:rPr>
        <w:t xml:space="preserve">ит достигнут при среднегодовых </w:t>
      </w:r>
      <w:r w:rsidRPr="00AA562D">
        <w:rPr>
          <w:sz w:val="28"/>
          <w:szCs w:val="28"/>
        </w:rPr>
        <w:t xml:space="preserve">101 </w:t>
      </w:r>
      <w:r w:rsidR="00AA562D">
        <w:rPr>
          <w:sz w:val="28"/>
          <w:szCs w:val="28"/>
        </w:rPr>
        <w:t xml:space="preserve">долл. </w:t>
      </w:r>
      <w:r w:rsidRPr="00AA562D">
        <w:rPr>
          <w:sz w:val="28"/>
          <w:szCs w:val="28"/>
        </w:rPr>
        <w:t xml:space="preserve">за баррель, в 2012 году цена сбалансированности заметно </w:t>
      </w:r>
      <w:r w:rsidR="00AA562D">
        <w:rPr>
          <w:sz w:val="28"/>
          <w:szCs w:val="28"/>
        </w:rPr>
        <w:t xml:space="preserve">выше – </w:t>
      </w:r>
      <w:r w:rsidRPr="00AA562D">
        <w:rPr>
          <w:sz w:val="28"/>
          <w:szCs w:val="28"/>
        </w:rPr>
        <w:t>116</w:t>
      </w:r>
      <w:r w:rsidR="00AA562D">
        <w:rPr>
          <w:sz w:val="28"/>
          <w:szCs w:val="28"/>
        </w:rPr>
        <w:t xml:space="preserve"> долл.</w:t>
      </w:r>
      <w:r w:rsidRPr="00AA562D">
        <w:rPr>
          <w:sz w:val="28"/>
          <w:szCs w:val="28"/>
        </w:rPr>
        <w:t xml:space="preserve"> за баррель (Масленников, 2012).  При этом если в 2000 году доля нефтегазовых доходов в общем объеме доходов федерального бюджета составляла около 20%, то к 2004 году она выросла до 30%, а в 2011 году нефтегазовые доходы составляют около половины от всех доходов, о чем свидетельствуют</w:t>
      </w:r>
      <w:r w:rsidR="00AD6D42" w:rsidRPr="00AA562D">
        <w:rPr>
          <w:sz w:val="28"/>
          <w:szCs w:val="28"/>
        </w:rPr>
        <w:t xml:space="preserve"> приведенные ниже данные (Таб. </w:t>
      </w:r>
      <w:r w:rsidR="0051540B" w:rsidRPr="0051540B">
        <w:rPr>
          <w:sz w:val="28"/>
          <w:szCs w:val="28"/>
        </w:rPr>
        <w:t>6</w:t>
      </w:r>
      <w:r w:rsidR="003E504A">
        <w:rPr>
          <w:sz w:val="28"/>
          <w:szCs w:val="28"/>
        </w:rPr>
        <w:t>, Рис. 5, Рис. 6</w:t>
      </w:r>
      <w:r w:rsidRPr="00AA562D">
        <w:rPr>
          <w:sz w:val="28"/>
          <w:szCs w:val="28"/>
        </w:rPr>
        <w:t>). В таких условиях существенное снижение цены на нефть может привести к значительному сокращению доходной части бюджета и росту его дефицита.</w:t>
      </w:r>
    </w:p>
    <w:p w:rsidR="00AA562D" w:rsidRDefault="00AA562D" w:rsidP="0004073F">
      <w:pPr>
        <w:spacing w:after="0" w:line="240" w:lineRule="auto"/>
        <w:ind w:firstLine="851"/>
        <w:jc w:val="right"/>
        <w:rPr>
          <w:i/>
          <w:sz w:val="26"/>
          <w:szCs w:val="26"/>
        </w:rPr>
      </w:pPr>
    </w:p>
    <w:p w:rsidR="00AA562D" w:rsidRDefault="00AA562D" w:rsidP="0004073F">
      <w:pPr>
        <w:spacing w:after="0" w:line="240" w:lineRule="auto"/>
        <w:ind w:firstLine="851"/>
        <w:jc w:val="right"/>
        <w:rPr>
          <w:i/>
          <w:sz w:val="26"/>
          <w:szCs w:val="26"/>
        </w:rPr>
      </w:pPr>
    </w:p>
    <w:p w:rsidR="00AA562D" w:rsidRDefault="00AA562D" w:rsidP="0004073F">
      <w:pPr>
        <w:spacing w:after="0" w:line="240" w:lineRule="auto"/>
        <w:ind w:firstLine="851"/>
        <w:jc w:val="right"/>
        <w:rPr>
          <w:i/>
          <w:sz w:val="26"/>
          <w:szCs w:val="26"/>
        </w:rPr>
      </w:pPr>
    </w:p>
    <w:p w:rsidR="00AA562D" w:rsidRDefault="00AA562D" w:rsidP="0004073F">
      <w:pPr>
        <w:spacing w:after="0" w:line="240" w:lineRule="auto"/>
        <w:ind w:firstLine="851"/>
        <w:jc w:val="right"/>
        <w:rPr>
          <w:i/>
          <w:sz w:val="26"/>
          <w:szCs w:val="26"/>
        </w:rPr>
      </w:pPr>
    </w:p>
    <w:p w:rsidR="00AA562D" w:rsidRDefault="00AA562D" w:rsidP="0004073F">
      <w:pPr>
        <w:spacing w:after="0" w:line="240" w:lineRule="auto"/>
        <w:ind w:firstLine="851"/>
        <w:jc w:val="right"/>
        <w:rPr>
          <w:i/>
          <w:sz w:val="26"/>
          <w:szCs w:val="26"/>
        </w:rPr>
      </w:pPr>
    </w:p>
    <w:p w:rsidR="00AA562D" w:rsidRDefault="00AA562D" w:rsidP="0004073F">
      <w:pPr>
        <w:spacing w:after="0" w:line="240" w:lineRule="auto"/>
        <w:ind w:firstLine="851"/>
        <w:jc w:val="right"/>
        <w:rPr>
          <w:i/>
          <w:sz w:val="26"/>
          <w:szCs w:val="26"/>
        </w:rPr>
      </w:pPr>
    </w:p>
    <w:p w:rsidR="00AA562D" w:rsidRDefault="00AA562D" w:rsidP="0004073F">
      <w:pPr>
        <w:spacing w:after="0" w:line="240" w:lineRule="auto"/>
        <w:ind w:firstLine="851"/>
        <w:jc w:val="right"/>
        <w:rPr>
          <w:i/>
          <w:sz w:val="26"/>
          <w:szCs w:val="26"/>
        </w:rPr>
      </w:pPr>
    </w:p>
    <w:p w:rsidR="00AA562D" w:rsidRDefault="00AA562D" w:rsidP="0004073F">
      <w:pPr>
        <w:spacing w:after="0" w:line="240" w:lineRule="auto"/>
        <w:ind w:firstLine="851"/>
        <w:jc w:val="right"/>
        <w:rPr>
          <w:i/>
          <w:sz w:val="26"/>
          <w:szCs w:val="26"/>
        </w:rPr>
      </w:pPr>
    </w:p>
    <w:p w:rsidR="00AA562D" w:rsidRDefault="00AA562D" w:rsidP="003E504A">
      <w:pPr>
        <w:spacing w:after="0" w:line="240" w:lineRule="auto"/>
        <w:rPr>
          <w:i/>
          <w:sz w:val="26"/>
          <w:szCs w:val="26"/>
        </w:rPr>
      </w:pPr>
    </w:p>
    <w:p w:rsidR="008A7369" w:rsidRPr="00CF4388" w:rsidRDefault="008A7369" w:rsidP="0004073F">
      <w:pPr>
        <w:spacing w:after="0" w:line="240" w:lineRule="auto"/>
        <w:ind w:firstLine="851"/>
        <w:jc w:val="right"/>
        <w:rPr>
          <w:i/>
          <w:sz w:val="26"/>
          <w:szCs w:val="26"/>
        </w:rPr>
      </w:pPr>
      <w:r w:rsidRPr="00985D29">
        <w:rPr>
          <w:i/>
          <w:sz w:val="26"/>
          <w:szCs w:val="26"/>
        </w:rPr>
        <w:lastRenderedPageBreak/>
        <w:t xml:space="preserve">Таблица </w:t>
      </w:r>
      <w:r w:rsidR="0051540B" w:rsidRPr="00CF4388">
        <w:rPr>
          <w:i/>
          <w:sz w:val="26"/>
          <w:szCs w:val="26"/>
        </w:rPr>
        <w:t>6</w:t>
      </w:r>
    </w:p>
    <w:p w:rsidR="008A7369" w:rsidRPr="00985D29" w:rsidRDefault="008A7369" w:rsidP="0004073F">
      <w:pPr>
        <w:spacing w:after="0" w:line="240" w:lineRule="auto"/>
        <w:jc w:val="center"/>
        <w:rPr>
          <w:b/>
          <w:sz w:val="26"/>
          <w:szCs w:val="26"/>
        </w:rPr>
      </w:pPr>
      <w:r w:rsidRPr="00985D29">
        <w:rPr>
          <w:b/>
          <w:sz w:val="26"/>
          <w:szCs w:val="26"/>
        </w:rPr>
        <w:t xml:space="preserve">Основные характеристики федерального бюджета </w:t>
      </w:r>
    </w:p>
    <w:p w:rsidR="005B52CE" w:rsidRPr="00985D29" w:rsidRDefault="00E64815" w:rsidP="00E64815">
      <w:pPr>
        <w:spacing w:after="0" w:line="240" w:lineRule="auto"/>
        <w:jc w:val="center"/>
        <w:rPr>
          <w:b/>
          <w:sz w:val="26"/>
          <w:szCs w:val="26"/>
        </w:rPr>
      </w:pPr>
      <w:r w:rsidRPr="00985D29">
        <w:rPr>
          <w:b/>
          <w:sz w:val="26"/>
          <w:szCs w:val="26"/>
        </w:rPr>
        <w:t>в 2002-2012</w:t>
      </w:r>
      <w:r w:rsidR="008A7369" w:rsidRPr="00985D29">
        <w:rPr>
          <w:b/>
          <w:sz w:val="26"/>
          <w:szCs w:val="26"/>
        </w:rPr>
        <w:t xml:space="preserve"> годах, % ВВП</w:t>
      </w:r>
    </w:p>
    <w:tbl>
      <w:tblPr>
        <w:tblStyle w:val="1-12"/>
        <w:tblW w:w="5000" w:type="pct"/>
        <w:tblCellMar>
          <w:left w:w="0" w:type="dxa"/>
          <w:right w:w="57" w:type="dxa"/>
        </w:tblCellMar>
        <w:tblLook w:val="04A0"/>
      </w:tblPr>
      <w:tblGrid>
        <w:gridCol w:w="1929"/>
        <w:gridCol w:w="628"/>
        <w:gridCol w:w="630"/>
        <w:gridCol w:w="630"/>
        <w:gridCol w:w="630"/>
        <w:gridCol w:w="630"/>
        <w:gridCol w:w="630"/>
        <w:gridCol w:w="630"/>
        <w:gridCol w:w="630"/>
        <w:gridCol w:w="630"/>
        <w:gridCol w:w="771"/>
        <w:gridCol w:w="769"/>
      </w:tblGrid>
      <w:tr w:rsidR="00E64815" w:rsidRPr="00AD79D2" w:rsidTr="00E64815">
        <w:trPr>
          <w:cnfStyle w:val="100000000000"/>
        </w:trPr>
        <w:tc>
          <w:tcPr>
            <w:cnfStyle w:val="001000000000"/>
            <w:tcW w:w="1055" w:type="pct"/>
            <w:vAlign w:val="center"/>
          </w:tcPr>
          <w:p w:rsidR="00E64815" w:rsidRPr="00AD79D2" w:rsidRDefault="00E64815" w:rsidP="0004073F">
            <w:pPr>
              <w:spacing w:line="360" w:lineRule="auto"/>
              <w:rPr>
                <w:sz w:val="22"/>
                <w:szCs w:val="22"/>
              </w:rPr>
            </w:pPr>
          </w:p>
        </w:tc>
        <w:tc>
          <w:tcPr>
            <w:tcW w:w="343" w:type="pct"/>
            <w:vAlign w:val="center"/>
          </w:tcPr>
          <w:p w:rsidR="00E64815" w:rsidRPr="00AD79D2" w:rsidRDefault="00E64815" w:rsidP="0004073F">
            <w:pPr>
              <w:spacing w:line="360" w:lineRule="auto"/>
              <w:jc w:val="center"/>
              <w:cnfStyle w:val="100000000000"/>
              <w:rPr>
                <w:sz w:val="22"/>
                <w:szCs w:val="22"/>
              </w:rPr>
            </w:pPr>
            <w:r w:rsidRPr="00AD79D2">
              <w:rPr>
                <w:sz w:val="22"/>
                <w:szCs w:val="22"/>
              </w:rPr>
              <w:t>2002</w:t>
            </w:r>
          </w:p>
        </w:tc>
        <w:tc>
          <w:tcPr>
            <w:tcW w:w="344" w:type="pct"/>
            <w:vAlign w:val="center"/>
          </w:tcPr>
          <w:p w:rsidR="00E64815" w:rsidRPr="00AD79D2" w:rsidRDefault="00E64815" w:rsidP="0004073F">
            <w:pPr>
              <w:spacing w:line="360" w:lineRule="auto"/>
              <w:jc w:val="center"/>
              <w:cnfStyle w:val="100000000000"/>
              <w:rPr>
                <w:sz w:val="22"/>
                <w:szCs w:val="22"/>
              </w:rPr>
            </w:pPr>
            <w:r w:rsidRPr="00AD79D2">
              <w:rPr>
                <w:sz w:val="22"/>
                <w:szCs w:val="22"/>
              </w:rPr>
              <w:t>2003</w:t>
            </w:r>
          </w:p>
        </w:tc>
        <w:tc>
          <w:tcPr>
            <w:tcW w:w="344" w:type="pct"/>
            <w:vAlign w:val="center"/>
          </w:tcPr>
          <w:p w:rsidR="00E64815" w:rsidRPr="00AD79D2" w:rsidRDefault="00E64815" w:rsidP="0004073F">
            <w:pPr>
              <w:spacing w:line="360" w:lineRule="auto"/>
              <w:jc w:val="center"/>
              <w:cnfStyle w:val="100000000000"/>
              <w:rPr>
                <w:sz w:val="22"/>
                <w:szCs w:val="22"/>
              </w:rPr>
            </w:pPr>
            <w:r w:rsidRPr="00AD79D2">
              <w:rPr>
                <w:sz w:val="22"/>
                <w:szCs w:val="22"/>
              </w:rPr>
              <w:t>2004</w:t>
            </w:r>
          </w:p>
        </w:tc>
        <w:tc>
          <w:tcPr>
            <w:tcW w:w="345" w:type="pct"/>
            <w:vAlign w:val="center"/>
          </w:tcPr>
          <w:p w:rsidR="00E64815" w:rsidRPr="00AD79D2" w:rsidRDefault="00E64815" w:rsidP="0004073F">
            <w:pPr>
              <w:spacing w:line="360" w:lineRule="auto"/>
              <w:jc w:val="center"/>
              <w:cnfStyle w:val="100000000000"/>
              <w:rPr>
                <w:sz w:val="22"/>
                <w:szCs w:val="22"/>
              </w:rPr>
            </w:pPr>
            <w:r w:rsidRPr="00AD79D2">
              <w:rPr>
                <w:sz w:val="22"/>
                <w:szCs w:val="22"/>
              </w:rPr>
              <w:t>2005</w:t>
            </w:r>
          </w:p>
        </w:tc>
        <w:tc>
          <w:tcPr>
            <w:tcW w:w="345" w:type="pct"/>
            <w:vAlign w:val="center"/>
          </w:tcPr>
          <w:p w:rsidR="00E64815" w:rsidRPr="00AD79D2" w:rsidRDefault="00E64815" w:rsidP="0004073F">
            <w:pPr>
              <w:spacing w:line="360" w:lineRule="auto"/>
              <w:jc w:val="center"/>
              <w:cnfStyle w:val="100000000000"/>
              <w:rPr>
                <w:sz w:val="22"/>
                <w:szCs w:val="22"/>
              </w:rPr>
            </w:pPr>
            <w:r w:rsidRPr="00AD79D2">
              <w:rPr>
                <w:sz w:val="22"/>
                <w:szCs w:val="22"/>
              </w:rPr>
              <w:t>2006</w:t>
            </w:r>
          </w:p>
        </w:tc>
        <w:tc>
          <w:tcPr>
            <w:tcW w:w="345" w:type="pct"/>
            <w:vAlign w:val="center"/>
          </w:tcPr>
          <w:p w:rsidR="00E64815" w:rsidRPr="00AD79D2" w:rsidRDefault="00E64815" w:rsidP="0004073F">
            <w:pPr>
              <w:spacing w:line="360" w:lineRule="auto"/>
              <w:ind w:left="34" w:right="33" w:firstLine="3"/>
              <w:jc w:val="center"/>
              <w:cnfStyle w:val="100000000000"/>
              <w:rPr>
                <w:sz w:val="22"/>
                <w:szCs w:val="22"/>
              </w:rPr>
            </w:pPr>
            <w:r w:rsidRPr="00AD79D2">
              <w:rPr>
                <w:sz w:val="22"/>
                <w:szCs w:val="22"/>
              </w:rPr>
              <w:t>2007</w:t>
            </w:r>
          </w:p>
        </w:tc>
        <w:tc>
          <w:tcPr>
            <w:tcW w:w="345" w:type="pct"/>
            <w:vAlign w:val="center"/>
          </w:tcPr>
          <w:p w:rsidR="00E64815" w:rsidRPr="00AD79D2" w:rsidRDefault="00E64815" w:rsidP="0004073F">
            <w:pPr>
              <w:spacing w:line="360" w:lineRule="auto"/>
              <w:ind w:left="34" w:right="33" w:firstLine="3"/>
              <w:jc w:val="center"/>
              <w:cnfStyle w:val="100000000000"/>
              <w:rPr>
                <w:sz w:val="22"/>
                <w:szCs w:val="22"/>
              </w:rPr>
            </w:pPr>
            <w:r w:rsidRPr="00AD79D2">
              <w:rPr>
                <w:sz w:val="22"/>
                <w:szCs w:val="22"/>
              </w:rPr>
              <w:t>2008</w:t>
            </w:r>
          </w:p>
        </w:tc>
        <w:tc>
          <w:tcPr>
            <w:tcW w:w="345" w:type="pct"/>
            <w:vAlign w:val="center"/>
          </w:tcPr>
          <w:p w:rsidR="00E64815" w:rsidRPr="00AD79D2" w:rsidRDefault="00E64815" w:rsidP="0004073F">
            <w:pPr>
              <w:spacing w:line="360" w:lineRule="auto"/>
              <w:ind w:left="34" w:right="33" w:firstLine="3"/>
              <w:jc w:val="center"/>
              <w:cnfStyle w:val="100000000000"/>
              <w:rPr>
                <w:sz w:val="22"/>
                <w:szCs w:val="22"/>
              </w:rPr>
            </w:pPr>
            <w:r w:rsidRPr="00AD79D2">
              <w:rPr>
                <w:sz w:val="22"/>
                <w:szCs w:val="22"/>
              </w:rPr>
              <w:t>2009</w:t>
            </w:r>
          </w:p>
        </w:tc>
        <w:tc>
          <w:tcPr>
            <w:tcW w:w="345" w:type="pct"/>
            <w:vAlign w:val="center"/>
          </w:tcPr>
          <w:p w:rsidR="00E64815" w:rsidRPr="00AD79D2" w:rsidRDefault="00E64815" w:rsidP="0004073F">
            <w:pPr>
              <w:spacing w:line="360" w:lineRule="auto"/>
              <w:ind w:left="34" w:right="33" w:firstLine="3"/>
              <w:jc w:val="center"/>
              <w:cnfStyle w:val="100000000000"/>
              <w:rPr>
                <w:sz w:val="22"/>
                <w:szCs w:val="22"/>
              </w:rPr>
            </w:pPr>
            <w:r w:rsidRPr="00AD79D2">
              <w:rPr>
                <w:sz w:val="22"/>
                <w:szCs w:val="22"/>
              </w:rPr>
              <w:t>2010</w:t>
            </w:r>
          </w:p>
        </w:tc>
        <w:tc>
          <w:tcPr>
            <w:tcW w:w="422" w:type="pct"/>
            <w:vAlign w:val="center"/>
          </w:tcPr>
          <w:p w:rsidR="00E64815" w:rsidRPr="00AD79D2" w:rsidRDefault="00E64815" w:rsidP="0004073F">
            <w:pPr>
              <w:spacing w:line="360" w:lineRule="auto"/>
              <w:ind w:left="34" w:right="33" w:firstLine="3"/>
              <w:jc w:val="center"/>
              <w:cnfStyle w:val="100000000000"/>
              <w:rPr>
                <w:sz w:val="22"/>
                <w:szCs w:val="22"/>
              </w:rPr>
            </w:pPr>
            <w:r w:rsidRPr="00AD79D2">
              <w:rPr>
                <w:sz w:val="22"/>
                <w:szCs w:val="22"/>
              </w:rPr>
              <w:t>2011</w:t>
            </w:r>
          </w:p>
        </w:tc>
        <w:tc>
          <w:tcPr>
            <w:tcW w:w="421" w:type="pct"/>
            <w:vAlign w:val="center"/>
          </w:tcPr>
          <w:p w:rsidR="00E64815" w:rsidRPr="00AD79D2" w:rsidRDefault="00E64815" w:rsidP="0004073F">
            <w:pPr>
              <w:spacing w:line="360" w:lineRule="auto"/>
              <w:ind w:left="34" w:right="33" w:firstLine="3"/>
              <w:jc w:val="center"/>
              <w:cnfStyle w:val="100000000000"/>
              <w:rPr>
                <w:sz w:val="22"/>
                <w:szCs w:val="22"/>
              </w:rPr>
            </w:pPr>
            <w:r w:rsidRPr="00AD79D2">
              <w:rPr>
                <w:sz w:val="22"/>
                <w:szCs w:val="22"/>
              </w:rPr>
              <w:t>2012</w:t>
            </w:r>
          </w:p>
        </w:tc>
      </w:tr>
      <w:tr w:rsidR="00E64815" w:rsidRPr="00AD79D2" w:rsidTr="00E64815">
        <w:trPr>
          <w:cnfStyle w:val="000000100000"/>
        </w:trPr>
        <w:tc>
          <w:tcPr>
            <w:cnfStyle w:val="001000000000"/>
            <w:tcW w:w="1055" w:type="pct"/>
            <w:vAlign w:val="center"/>
          </w:tcPr>
          <w:p w:rsidR="00E64815" w:rsidRPr="00AD79D2" w:rsidRDefault="00E64815" w:rsidP="0004073F">
            <w:pPr>
              <w:rPr>
                <w:i/>
                <w:sz w:val="22"/>
                <w:szCs w:val="22"/>
              </w:rPr>
            </w:pPr>
            <w:r w:rsidRPr="00AD79D2">
              <w:rPr>
                <w:color w:val="000000"/>
                <w:spacing w:val="-6"/>
                <w:sz w:val="22"/>
                <w:szCs w:val="22"/>
              </w:rPr>
              <w:t>Среднегодовая цена на нефть, долл./барр.</w:t>
            </w:r>
          </w:p>
        </w:tc>
        <w:tc>
          <w:tcPr>
            <w:tcW w:w="343"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23,7</w:t>
            </w:r>
          </w:p>
        </w:tc>
        <w:tc>
          <w:tcPr>
            <w:tcW w:w="344"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27,2</w:t>
            </w:r>
          </w:p>
        </w:tc>
        <w:tc>
          <w:tcPr>
            <w:tcW w:w="344"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34,4</w:t>
            </w:r>
          </w:p>
        </w:tc>
        <w:tc>
          <w:tcPr>
            <w:tcW w:w="345"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50,6</w:t>
            </w:r>
          </w:p>
        </w:tc>
        <w:tc>
          <w:tcPr>
            <w:tcW w:w="345"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61,1</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69,3</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94,4</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61,1</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78,2</w:t>
            </w:r>
          </w:p>
        </w:tc>
        <w:tc>
          <w:tcPr>
            <w:tcW w:w="422"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109,3</w:t>
            </w:r>
          </w:p>
        </w:tc>
        <w:tc>
          <w:tcPr>
            <w:tcW w:w="421"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109,0</w:t>
            </w:r>
          </w:p>
        </w:tc>
      </w:tr>
      <w:tr w:rsidR="00E64815" w:rsidRPr="00AD79D2" w:rsidTr="00E64815">
        <w:trPr>
          <w:cnfStyle w:val="000000010000"/>
        </w:trPr>
        <w:tc>
          <w:tcPr>
            <w:cnfStyle w:val="001000000000"/>
            <w:tcW w:w="1055" w:type="pct"/>
            <w:vAlign w:val="center"/>
          </w:tcPr>
          <w:p w:rsidR="00E64815" w:rsidRPr="00AD79D2" w:rsidRDefault="00E64815" w:rsidP="0004073F">
            <w:pPr>
              <w:rPr>
                <w:sz w:val="22"/>
                <w:szCs w:val="22"/>
              </w:rPr>
            </w:pPr>
            <w:r w:rsidRPr="00AD79D2">
              <w:rPr>
                <w:sz w:val="22"/>
                <w:szCs w:val="22"/>
              </w:rPr>
              <w:t>Доходы</w:t>
            </w:r>
          </w:p>
        </w:tc>
        <w:tc>
          <w:tcPr>
            <w:tcW w:w="343"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20,4</w:t>
            </w:r>
          </w:p>
        </w:tc>
        <w:tc>
          <w:tcPr>
            <w:tcW w:w="344"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19,5</w:t>
            </w:r>
          </w:p>
        </w:tc>
        <w:tc>
          <w:tcPr>
            <w:tcW w:w="344"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20,1</w:t>
            </w:r>
          </w:p>
        </w:tc>
        <w:tc>
          <w:tcPr>
            <w:tcW w:w="345"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23,7</w:t>
            </w:r>
          </w:p>
        </w:tc>
        <w:tc>
          <w:tcPr>
            <w:tcW w:w="345"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23,3</w:t>
            </w:r>
          </w:p>
        </w:tc>
        <w:tc>
          <w:tcPr>
            <w:tcW w:w="345"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23,4</w:t>
            </w:r>
          </w:p>
        </w:tc>
        <w:tc>
          <w:tcPr>
            <w:tcW w:w="345"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22,5</w:t>
            </w:r>
          </w:p>
        </w:tc>
        <w:tc>
          <w:tcPr>
            <w:tcW w:w="345"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18,9</w:t>
            </w:r>
          </w:p>
        </w:tc>
        <w:tc>
          <w:tcPr>
            <w:tcW w:w="345"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17,9</w:t>
            </w:r>
          </w:p>
        </w:tc>
        <w:tc>
          <w:tcPr>
            <w:tcW w:w="422"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20,4</w:t>
            </w:r>
          </w:p>
        </w:tc>
        <w:tc>
          <w:tcPr>
            <w:tcW w:w="421"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20,6</w:t>
            </w:r>
          </w:p>
        </w:tc>
      </w:tr>
      <w:tr w:rsidR="00E64815" w:rsidRPr="00AD79D2" w:rsidTr="00E64815">
        <w:trPr>
          <w:cnfStyle w:val="000000100000"/>
        </w:trPr>
        <w:tc>
          <w:tcPr>
            <w:cnfStyle w:val="001000000000"/>
            <w:tcW w:w="1055" w:type="pct"/>
            <w:vAlign w:val="center"/>
          </w:tcPr>
          <w:p w:rsidR="00E64815" w:rsidRPr="00AD79D2" w:rsidRDefault="00E64815" w:rsidP="0004073F">
            <w:pPr>
              <w:rPr>
                <w:b w:val="0"/>
                <w:sz w:val="22"/>
                <w:szCs w:val="22"/>
              </w:rPr>
            </w:pPr>
            <w:r w:rsidRPr="00AD79D2">
              <w:rPr>
                <w:b w:val="0"/>
                <w:sz w:val="22"/>
                <w:szCs w:val="22"/>
              </w:rPr>
              <w:t>Нефтегазовые доходы</w:t>
            </w:r>
          </w:p>
        </w:tc>
        <w:tc>
          <w:tcPr>
            <w:tcW w:w="343"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4,3</w:t>
            </w:r>
          </w:p>
        </w:tc>
        <w:tc>
          <w:tcPr>
            <w:tcW w:w="344"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4,9</w:t>
            </w:r>
          </w:p>
        </w:tc>
        <w:tc>
          <w:tcPr>
            <w:tcW w:w="344"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6,1</w:t>
            </w:r>
          </w:p>
        </w:tc>
        <w:tc>
          <w:tcPr>
            <w:tcW w:w="345"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9,9</w:t>
            </w:r>
          </w:p>
        </w:tc>
        <w:tc>
          <w:tcPr>
            <w:tcW w:w="345"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10,9</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8,7</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10,6</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7,7</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8,3</w:t>
            </w:r>
          </w:p>
        </w:tc>
        <w:tc>
          <w:tcPr>
            <w:tcW w:w="422"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10,3</w:t>
            </w:r>
          </w:p>
        </w:tc>
        <w:tc>
          <w:tcPr>
            <w:tcW w:w="421"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10,3</w:t>
            </w:r>
          </w:p>
        </w:tc>
      </w:tr>
      <w:tr w:rsidR="00E64815" w:rsidRPr="00AD79D2" w:rsidTr="00E64815">
        <w:trPr>
          <w:cnfStyle w:val="000000010000"/>
        </w:trPr>
        <w:tc>
          <w:tcPr>
            <w:cnfStyle w:val="001000000000"/>
            <w:tcW w:w="1055" w:type="pct"/>
            <w:vAlign w:val="center"/>
          </w:tcPr>
          <w:p w:rsidR="00E64815" w:rsidRPr="00AD79D2" w:rsidRDefault="00E64815" w:rsidP="0004073F">
            <w:pPr>
              <w:rPr>
                <w:b w:val="0"/>
                <w:sz w:val="22"/>
                <w:szCs w:val="22"/>
              </w:rPr>
            </w:pPr>
            <w:r w:rsidRPr="00AD79D2">
              <w:rPr>
                <w:b w:val="0"/>
                <w:sz w:val="22"/>
                <w:szCs w:val="22"/>
              </w:rPr>
              <w:t>Ненефтегазовые доходы</w:t>
            </w:r>
          </w:p>
        </w:tc>
        <w:tc>
          <w:tcPr>
            <w:tcW w:w="343"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16,0</w:t>
            </w:r>
          </w:p>
        </w:tc>
        <w:tc>
          <w:tcPr>
            <w:tcW w:w="344"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14,6</w:t>
            </w:r>
          </w:p>
        </w:tc>
        <w:tc>
          <w:tcPr>
            <w:tcW w:w="344"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14,0</w:t>
            </w:r>
          </w:p>
        </w:tc>
        <w:tc>
          <w:tcPr>
            <w:tcW w:w="345"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13,8</w:t>
            </w:r>
          </w:p>
        </w:tc>
        <w:tc>
          <w:tcPr>
            <w:tcW w:w="345"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12,4</w:t>
            </w:r>
          </w:p>
        </w:tc>
        <w:tc>
          <w:tcPr>
            <w:tcW w:w="345"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14,7</w:t>
            </w:r>
          </w:p>
        </w:tc>
        <w:tc>
          <w:tcPr>
            <w:tcW w:w="345"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11,8</w:t>
            </w:r>
          </w:p>
        </w:tc>
        <w:tc>
          <w:tcPr>
            <w:tcW w:w="345"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11,2</w:t>
            </w:r>
          </w:p>
        </w:tc>
        <w:tc>
          <w:tcPr>
            <w:tcW w:w="345"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9,6</w:t>
            </w:r>
          </w:p>
        </w:tc>
        <w:tc>
          <w:tcPr>
            <w:tcW w:w="422"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10,1</w:t>
            </w:r>
          </w:p>
        </w:tc>
        <w:tc>
          <w:tcPr>
            <w:tcW w:w="421"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10,3</w:t>
            </w:r>
          </w:p>
        </w:tc>
      </w:tr>
      <w:tr w:rsidR="00E64815" w:rsidRPr="00AD79D2" w:rsidTr="00E64815">
        <w:trPr>
          <w:cnfStyle w:val="000000100000"/>
        </w:trPr>
        <w:tc>
          <w:tcPr>
            <w:cnfStyle w:val="001000000000"/>
            <w:tcW w:w="1055" w:type="pct"/>
            <w:vAlign w:val="center"/>
          </w:tcPr>
          <w:p w:rsidR="00E64815" w:rsidRPr="00AD79D2" w:rsidRDefault="00E64815" w:rsidP="0004073F">
            <w:pPr>
              <w:rPr>
                <w:sz w:val="22"/>
                <w:szCs w:val="22"/>
              </w:rPr>
            </w:pPr>
            <w:r w:rsidRPr="00AD79D2">
              <w:rPr>
                <w:sz w:val="22"/>
                <w:szCs w:val="22"/>
              </w:rPr>
              <w:t>Расходы</w:t>
            </w:r>
          </w:p>
        </w:tc>
        <w:tc>
          <w:tcPr>
            <w:tcW w:w="343"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19,0</w:t>
            </w:r>
          </w:p>
        </w:tc>
        <w:tc>
          <w:tcPr>
            <w:tcW w:w="344"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17,8</w:t>
            </w:r>
          </w:p>
        </w:tc>
        <w:tc>
          <w:tcPr>
            <w:tcW w:w="344"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15,8</w:t>
            </w:r>
          </w:p>
        </w:tc>
        <w:tc>
          <w:tcPr>
            <w:tcW w:w="345"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16,3</w:t>
            </w:r>
          </w:p>
        </w:tc>
        <w:tc>
          <w:tcPr>
            <w:tcW w:w="345"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15,9</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18,0</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18,3</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24,9</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22,4</w:t>
            </w:r>
          </w:p>
        </w:tc>
        <w:tc>
          <w:tcPr>
            <w:tcW w:w="422"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20,0</w:t>
            </w:r>
          </w:p>
        </w:tc>
        <w:tc>
          <w:tcPr>
            <w:tcW w:w="421"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21,0</w:t>
            </w:r>
          </w:p>
        </w:tc>
      </w:tr>
      <w:tr w:rsidR="00E64815" w:rsidRPr="00AD79D2" w:rsidTr="00E64815">
        <w:trPr>
          <w:cnfStyle w:val="000000010000"/>
        </w:trPr>
        <w:tc>
          <w:tcPr>
            <w:cnfStyle w:val="001000000000"/>
            <w:tcW w:w="1055" w:type="pct"/>
            <w:vAlign w:val="center"/>
          </w:tcPr>
          <w:p w:rsidR="00E64815" w:rsidRPr="00AD79D2" w:rsidRDefault="00E64815" w:rsidP="0004073F">
            <w:pPr>
              <w:rPr>
                <w:b w:val="0"/>
                <w:sz w:val="22"/>
                <w:szCs w:val="22"/>
              </w:rPr>
            </w:pPr>
            <w:r w:rsidRPr="00AD79D2">
              <w:rPr>
                <w:b w:val="0"/>
                <w:sz w:val="22"/>
                <w:szCs w:val="22"/>
              </w:rPr>
              <w:t>Дефицит/профицит</w:t>
            </w:r>
          </w:p>
        </w:tc>
        <w:tc>
          <w:tcPr>
            <w:tcW w:w="343"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1,4</w:t>
            </w:r>
          </w:p>
        </w:tc>
        <w:tc>
          <w:tcPr>
            <w:tcW w:w="344"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1,7</w:t>
            </w:r>
          </w:p>
        </w:tc>
        <w:tc>
          <w:tcPr>
            <w:tcW w:w="344"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4,3</w:t>
            </w:r>
          </w:p>
        </w:tc>
        <w:tc>
          <w:tcPr>
            <w:tcW w:w="345"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7,5</w:t>
            </w:r>
          </w:p>
        </w:tc>
        <w:tc>
          <w:tcPr>
            <w:tcW w:w="345" w:type="pct"/>
            <w:vAlign w:val="center"/>
          </w:tcPr>
          <w:p w:rsidR="00E64815" w:rsidRPr="00AD79D2" w:rsidRDefault="00E64815" w:rsidP="0004073F">
            <w:pPr>
              <w:spacing w:line="360" w:lineRule="auto"/>
              <w:jc w:val="center"/>
              <w:cnfStyle w:val="000000010000"/>
              <w:rPr>
                <w:sz w:val="22"/>
                <w:szCs w:val="22"/>
              </w:rPr>
            </w:pPr>
            <w:r w:rsidRPr="00AD79D2">
              <w:rPr>
                <w:sz w:val="22"/>
                <w:szCs w:val="22"/>
              </w:rPr>
              <w:t>7,4</w:t>
            </w:r>
          </w:p>
        </w:tc>
        <w:tc>
          <w:tcPr>
            <w:tcW w:w="345"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5,4</w:t>
            </w:r>
          </w:p>
        </w:tc>
        <w:tc>
          <w:tcPr>
            <w:tcW w:w="345"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4,1</w:t>
            </w:r>
          </w:p>
        </w:tc>
        <w:tc>
          <w:tcPr>
            <w:tcW w:w="345"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-6,0</w:t>
            </w:r>
          </w:p>
        </w:tc>
        <w:tc>
          <w:tcPr>
            <w:tcW w:w="345"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-4,5</w:t>
            </w:r>
          </w:p>
        </w:tc>
        <w:tc>
          <w:tcPr>
            <w:tcW w:w="422"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0,4</w:t>
            </w:r>
          </w:p>
        </w:tc>
        <w:tc>
          <w:tcPr>
            <w:tcW w:w="421" w:type="pct"/>
            <w:vAlign w:val="center"/>
          </w:tcPr>
          <w:p w:rsidR="00E64815" w:rsidRPr="00AD79D2" w:rsidRDefault="00E64815" w:rsidP="0004073F">
            <w:pPr>
              <w:spacing w:line="360" w:lineRule="auto"/>
              <w:ind w:left="34" w:right="33" w:firstLine="3"/>
              <w:jc w:val="center"/>
              <w:cnfStyle w:val="000000010000"/>
              <w:rPr>
                <w:sz w:val="22"/>
                <w:szCs w:val="22"/>
              </w:rPr>
            </w:pPr>
            <w:r w:rsidRPr="00AD79D2">
              <w:rPr>
                <w:sz w:val="22"/>
                <w:szCs w:val="22"/>
              </w:rPr>
              <w:t>-0,4</w:t>
            </w:r>
          </w:p>
        </w:tc>
      </w:tr>
      <w:tr w:rsidR="00E64815" w:rsidRPr="00AD79D2" w:rsidTr="00E64815">
        <w:trPr>
          <w:cnfStyle w:val="000000100000"/>
        </w:trPr>
        <w:tc>
          <w:tcPr>
            <w:cnfStyle w:val="001000000000"/>
            <w:tcW w:w="1055" w:type="pct"/>
            <w:vAlign w:val="center"/>
          </w:tcPr>
          <w:p w:rsidR="00E64815" w:rsidRPr="00AD79D2" w:rsidRDefault="00E64815" w:rsidP="0004073F">
            <w:pPr>
              <w:rPr>
                <w:b w:val="0"/>
                <w:sz w:val="22"/>
                <w:szCs w:val="22"/>
              </w:rPr>
            </w:pPr>
            <w:r w:rsidRPr="00AD79D2">
              <w:rPr>
                <w:b w:val="0"/>
                <w:sz w:val="22"/>
                <w:szCs w:val="22"/>
              </w:rPr>
              <w:t>Ненефтегазовый дефицит</w:t>
            </w:r>
          </w:p>
        </w:tc>
        <w:tc>
          <w:tcPr>
            <w:tcW w:w="343"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-2,9</w:t>
            </w:r>
          </w:p>
        </w:tc>
        <w:tc>
          <w:tcPr>
            <w:tcW w:w="344"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-3,2</w:t>
            </w:r>
          </w:p>
        </w:tc>
        <w:tc>
          <w:tcPr>
            <w:tcW w:w="344"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-1,8</w:t>
            </w:r>
          </w:p>
        </w:tc>
        <w:tc>
          <w:tcPr>
            <w:tcW w:w="345"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-2,5</w:t>
            </w:r>
          </w:p>
        </w:tc>
        <w:tc>
          <w:tcPr>
            <w:tcW w:w="345" w:type="pct"/>
            <w:vAlign w:val="center"/>
          </w:tcPr>
          <w:p w:rsidR="00E64815" w:rsidRPr="00AD79D2" w:rsidRDefault="00E64815" w:rsidP="0004073F">
            <w:pPr>
              <w:spacing w:line="360" w:lineRule="auto"/>
              <w:jc w:val="center"/>
              <w:cnfStyle w:val="000000100000"/>
              <w:rPr>
                <w:sz w:val="22"/>
                <w:szCs w:val="22"/>
              </w:rPr>
            </w:pPr>
            <w:r w:rsidRPr="00AD79D2">
              <w:rPr>
                <w:sz w:val="22"/>
                <w:szCs w:val="22"/>
              </w:rPr>
              <w:t>-3,5</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-3,3</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-6,5</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-13,7</w:t>
            </w:r>
          </w:p>
        </w:tc>
        <w:tc>
          <w:tcPr>
            <w:tcW w:w="345"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-12,8</w:t>
            </w:r>
          </w:p>
        </w:tc>
        <w:tc>
          <w:tcPr>
            <w:tcW w:w="422"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-9,9</w:t>
            </w:r>
          </w:p>
        </w:tc>
        <w:tc>
          <w:tcPr>
            <w:tcW w:w="421" w:type="pct"/>
            <w:vAlign w:val="center"/>
          </w:tcPr>
          <w:p w:rsidR="00E64815" w:rsidRPr="00AD79D2" w:rsidRDefault="00E64815" w:rsidP="0004073F">
            <w:pPr>
              <w:spacing w:line="360" w:lineRule="auto"/>
              <w:ind w:left="34" w:right="33" w:firstLine="3"/>
              <w:jc w:val="center"/>
              <w:cnfStyle w:val="000000100000"/>
              <w:rPr>
                <w:sz w:val="22"/>
                <w:szCs w:val="22"/>
              </w:rPr>
            </w:pPr>
            <w:r w:rsidRPr="00AD79D2">
              <w:rPr>
                <w:sz w:val="22"/>
                <w:szCs w:val="22"/>
              </w:rPr>
              <w:t>-10,7</w:t>
            </w:r>
          </w:p>
        </w:tc>
      </w:tr>
    </w:tbl>
    <w:p w:rsidR="005B52CE" w:rsidRPr="003E504A" w:rsidRDefault="0004073F" w:rsidP="005B52CE">
      <w:pPr>
        <w:spacing w:after="0" w:line="240" w:lineRule="atLeast"/>
        <w:rPr>
          <w:rStyle w:val="af8"/>
        </w:rPr>
      </w:pPr>
      <w:r w:rsidRPr="003E504A">
        <w:rPr>
          <w:rStyle w:val="af8"/>
        </w:rPr>
        <w:t>Источник:</w:t>
      </w:r>
      <w:r w:rsidR="004B33F6" w:rsidRPr="003E504A">
        <w:rPr>
          <w:rStyle w:val="af8"/>
        </w:rPr>
        <w:t xml:space="preserve"> Данные на основании Федеральных законов об исполнении федерального бюджета Российской Федерации в период 2002-2011 гг., Федерального закона от 30.11.2011г. № 371-ФЗ «О федеральном бюджете на 2012 год и на плановый период 2013 и 2014 годов»</w:t>
      </w:r>
    </w:p>
    <w:p w:rsidR="00AD6D42" w:rsidRDefault="00AD6D42" w:rsidP="008A7369">
      <w:pPr>
        <w:spacing w:after="0" w:line="240" w:lineRule="auto"/>
        <w:jc w:val="center"/>
        <w:rPr>
          <w:i/>
          <w:sz w:val="26"/>
          <w:szCs w:val="26"/>
        </w:rPr>
      </w:pPr>
    </w:p>
    <w:p w:rsidR="00AD6D42" w:rsidRDefault="00AD6D42" w:rsidP="008A7369">
      <w:pPr>
        <w:spacing w:after="0" w:line="240" w:lineRule="auto"/>
        <w:jc w:val="center"/>
        <w:rPr>
          <w:i/>
          <w:sz w:val="26"/>
          <w:szCs w:val="26"/>
        </w:rPr>
      </w:pPr>
    </w:p>
    <w:p w:rsidR="00AD6D42" w:rsidRDefault="00AD6D42" w:rsidP="00AA562D">
      <w:pPr>
        <w:spacing w:after="0" w:line="240" w:lineRule="auto"/>
        <w:rPr>
          <w:i/>
          <w:sz w:val="26"/>
          <w:szCs w:val="26"/>
        </w:rPr>
      </w:pPr>
    </w:p>
    <w:p w:rsidR="008A7369" w:rsidRPr="00985D29" w:rsidRDefault="008A7369" w:rsidP="008A7369">
      <w:pPr>
        <w:spacing w:after="0" w:line="240" w:lineRule="auto"/>
        <w:jc w:val="center"/>
        <w:rPr>
          <w:b/>
          <w:sz w:val="26"/>
          <w:szCs w:val="26"/>
        </w:rPr>
      </w:pPr>
      <w:r w:rsidRPr="00985D29">
        <w:rPr>
          <w:b/>
          <w:sz w:val="26"/>
          <w:szCs w:val="26"/>
        </w:rPr>
        <w:t xml:space="preserve">Динамика поступления доходов федерального бюджета в 2008-2012 годах </w:t>
      </w:r>
    </w:p>
    <w:p w:rsidR="008A7369" w:rsidRPr="00985D29" w:rsidRDefault="008A7369" w:rsidP="00907BB5">
      <w:pPr>
        <w:spacing w:after="0" w:line="240" w:lineRule="auto"/>
        <w:jc w:val="center"/>
        <w:rPr>
          <w:b/>
          <w:sz w:val="26"/>
          <w:szCs w:val="26"/>
        </w:rPr>
      </w:pPr>
      <w:r w:rsidRPr="00985D29">
        <w:rPr>
          <w:b/>
          <w:sz w:val="26"/>
          <w:szCs w:val="26"/>
        </w:rPr>
        <w:t>в % ВВП</w:t>
      </w:r>
      <w:r w:rsidRPr="00985D29">
        <w:rPr>
          <w:noProof/>
          <w:sz w:val="26"/>
          <w:szCs w:val="26"/>
          <w:lang w:eastAsia="ru-RU"/>
        </w:rPr>
        <w:drawing>
          <wp:inline distT="0" distB="0" distL="0" distR="0">
            <wp:extent cx="5172075" cy="2633859"/>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172075" cy="2638425"/>
                    </a:xfrm>
                    <a:prstGeom prst="rect">
                      <a:avLst/>
                    </a:prstGeom>
                    <a:noFill/>
                    <a:ln w="9525">
                      <a:noFill/>
                      <a:miter lim="800000"/>
                      <a:headEnd/>
                      <a:tailEnd/>
                    </a:ln>
                  </pic:spPr>
                </pic:pic>
              </a:graphicData>
            </a:graphic>
          </wp:inline>
        </w:drawing>
      </w:r>
    </w:p>
    <w:p w:rsidR="00907BB5" w:rsidRPr="003E504A" w:rsidRDefault="00907BB5" w:rsidP="003E504A">
      <w:pPr>
        <w:spacing w:after="0" w:line="240" w:lineRule="auto"/>
        <w:ind w:left="284"/>
        <w:rPr>
          <w:rStyle w:val="af8"/>
        </w:rPr>
      </w:pPr>
      <w:r w:rsidRPr="003E504A">
        <w:rPr>
          <w:rStyle w:val="af8"/>
        </w:rPr>
        <w:t>Источник:</w:t>
      </w:r>
      <w:r w:rsidR="004B33F6" w:rsidRPr="003E504A">
        <w:rPr>
          <w:rStyle w:val="af8"/>
        </w:rPr>
        <w:t xml:space="preserve"> Материалы расширенной коллегии Минфина России «Исполнение федерального бюджета и бюджетов бюджетной системы России в 2012 году»</w:t>
      </w:r>
    </w:p>
    <w:p w:rsidR="00AD6D42" w:rsidRPr="003E504A" w:rsidRDefault="003E504A" w:rsidP="00AD6D42">
      <w:pPr>
        <w:spacing w:after="0" w:line="240" w:lineRule="auto"/>
        <w:jc w:val="center"/>
        <w:rPr>
          <w:sz w:val="28"/>
          <w:szCs w:val="28"/>
        </w:rPr>
      </w:pPr>
      <w:r w:rsidRPr="003E504A">
        <w:rPr>
          <w:sz w:val="28"/>
          <w:szCs w:val="28"/>
        </w:rPr>
        <w:t>Рис. 5</w:t>
      </w:r>
    </w:p>
    <w:p w:rsidR="00AD6D42" w:rsidRDefault="00AD6D42" w:rsidP="008A7369">
      <w:pPr>
        <w:spacing w:after="0" w:line="240" w:lineRule="auto"/>
        <w:jc w:val="center"/>
        <w:rPr>
          <w:i/>
          <w:sz w:val="26"/>
          <w:szCs w:val="26"/>
        </w:rPr>
      </w:pPr>
    </w:p>
    <w:p w:rsidR="00AD6D42" w:rsidRDefault="00AD6D42" w:rsidP="008A7369">
      <w:pPr>
        <w:spacing w:after="0" w:line="240" w:lineRule="auto"/>
        <w:jc w:val="center"/>
        <w:rPr>
          <w:b/>
          <w:sz w:val="26"/>
          <w:szCs w:val="26"/>
        </w:rPr>
      </w:pPr>
    </w:p>
    <w:p w:rsidR="003E504A" w:rsidRDefault="003E504A" w:rsidP="008A7369">
      <w:pPr>
        <w:spacing w:after="0" w:line="240" w:lineRule="auto"/>
        <w:jc w:val="center"/>
        <w:rPr>
          <w:b/>
          <w:sz w:val="26"/>
          <w:szCs w:val="26"/>
        </w:rPr>
      </w:pPr>
    </w:p>
    <w:p w:rsidR="003E504A" w:rsidRDefault="003E504A" w:rsidP="008A7369">
      <w:pPr>
        <w:spacing w:after="0" w:line="240" w:lineRule="auto"/>
        <w:jc w:val="center"/>
        <w:rPr>
          <w:b/>
          <w:sz w:val="26"/>
          <w:szCs w:val="26"/>
        </w:rPr>
      </w:pPr>
    </w:p>
    <w:p w:rsidR="00AA562D" w:rsidRDefault="00AA562D" w:rsidP="004B33F6">
      <w:pPr>
        <w:spacing w:after="0" w:line="240" w:lineRule="auto"/>
        <w:rPr>
          <w:b/>
          <w:sz w:val="26"/>
          <w:szCs w:val="26"/>
        </w:rPr>
      </w:pPr>
    </w:p>
    <w:p w:rsidR="008A7369" w:rsidRPr="00985D29" w:rsidRDefault="008A7369" w:rsidP="008A7369">
      <w:pPr>
        <w:spacing w:after="0" w:line="240" w:lineRule="auto"/>
        <w:jc w:val="center"/>
        <w:rPr>
          <w:b/>
          <w:sz w:val="26"/>
          <w:szCs w:val="26"/>
        </w:rPr>
      </w:pPr>
      <w:r w:rsidRPr="00985D29">
        <w:rPr>
          <w:b/>
          <w:sz w:val="26"/>
          <w:szCs w:val="26"/>
        </w:rPr>
        <w:lastRenderedPageBreak/>
        <w:t>Соотношение нефтегазовых и ненефтегазовых доходов в общем объеме доходов федерального бюджета в 2008-2012 годах</w:t>
      </w:r>
    </w:p>
    <w:p w:rsidR="008A7369" w:rsidRPr="00985D29" w:rsidRDefault="008A7369" w:rsidP="008A7369">
      <w:pPr>
        <w:spacing w:after="0" w:line="240" w:lineRule="auto"/>
        <w:jc w:val="center"/>
        <w:rPr>
          <w:b/>
          <w:sz w:val="26"/>
          <w:szCs w:val="26"/>
        </w:rPr>
      </w:pPr>
      <w:r w:rsidRPr="00985D29">
        <w:rPr>
          <w:b/>
          <w:noProof/>
          <w:sz w:val="26"/>
          <w:szCs w:val="26"/>
          <w:lang w:eastAsia="ru-RU"/>
        </w:rPr>
        <w:drawing>
          <wp:inline distT="0" distB="0" distL="0" distR="0">
            <wp:extent cx="5457825" cy="2602962"/>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5465618" cy="2606679"/>
                    </a:xfrm>
                    <a:prstGeom prst="rect">
                      <a:avLst/>
                    </a:prstGeom>
                    <a:noFill/>
                    <a:ln w="9525">
                      <a:noFill/>
                      <a:miter lim="800000"/>
                      <a:headEnd/>
                      <a:tailEnd/>
                    </a:ln>
                  </pic:spPr>
                </pic:pic>
              </a:graphicData>
            </a:graphic>
          </wp:inline>
        </w:drawing>
      </w:r>
    </w:p>
    <w:p w:rsidR="00907BB5" w:rsidRPr="003E504A" w:rsidRDefault="00907BB5" w:rsidP="003E504A">
      <w:pPr>
        <w:spacing w:after="0" w:line="240" w:lineRule="auto"/>
        <w:ind w:left="284"/>
        <w:rPr>
          <w:i/>
          <w:iCs/>
        </w:rPr>
      </w:pPr>
      <w:r w:rsidRPr="003E504A">
        <w:rPr>
          <w:rStyle w:val="af8"/>
        </w:rPr>
        <w:t>Источник:</w:t>
      </w:r>
      <w:r w:rsidR="004B33F6" w:rsidRPr="003E504A">
        <w:rPr>
          <w:rStyle w:val="af8"/>
        </w:rPr>
        <w:t xml:space="preserve"> Материалы расширенной коллегии Минфина России «Исполнение федерального бюджета и бюджетов бюджетной системы России в 2012 году»</w:t>
      </w:r>
    </w:p>
    <w:p w:rsidR="008A7369" w:rsidRPr="003E504A" w:rsidRDefault="003E504A" w:rsidP="003E504A">
      <w:pPr>
        <w:spacing w:before="240" w:after="0" w:line="240" w:lineRule="auto"/>
        <w:ind w:firstLine="851"/>
        <w:jc w:val="center"/>
        <w:rPr>
          <w:sz w:val="28"/>
          <w:szCs w:val="28"/>
        </w:rPr>
      </w:pPr>
      <w:r w:rsidRPr="003E504A">
        <w:rPr>
          <w:sz w:val="28"/>
          <w:szCs w:val="28"/>
        </w:rPr>
        <w:t>Рис. 6</w:t>
      </w:r>
    </w:p>
    <w:p w:rsidR="00AD6D42" w:rsidRDefault="00AD6D42" w:rsidP="008A7369">
      <w:pPr>
        <w:spacing w:after="0" w:line="360" w:lineRule="auto"/>
        <w:ind w:firstLine="851"/>
        <w:jc w:val="both"/>
        <w:rPr>
          <w:sz w:val="26"/>
          <w:szCs w:val="26"/>
        </w:rPr>
      </w:pPr>
    </w:p>
    <w:p w:rsidR="008A7369" w:rsidRPr="00AA562D" w:rsidRDefault="008A7369" w:rsidP="008A7369">
      <w:pPr>
        <w:spacing w:after="0" w:line="360" w:lineRule="auto"/>
        <w:ind w:firstLine="851"/>
        <w:jc w:val="both"/>
        <w:rPr>
          <w:sz w:val="28"/>
          <w:szCs w:val="28"/>
        </w:rPr>
      </w:pPr>
      <w:r w:rsidRPr="00AA562D">
        <w:rPr>
          <w:sz w:val="28"/>
          <w:szCs w:val="28"/>
        </w:rPr>
        <w:t>В настоящее время снижение цен</w:t>
      </w:r>
      <w:r w:rsidR="004E1758">
        <w:rPr>
          <w:sz w:val="28"/>
          <w:szCs w:val="28"/>
        </w:rPr>
        <w:t>ы на</w:t>
      </w:r>
      <w:r w:rsidRPr="00AA562D">
        <w:rPr>
          <w:sz w:val="28"/>
          <w:szCs w:val="28"/>
        </w:rPr>
        <w:t xml:space="preserve"> нефт</w:t>
      </w:r>
      <w:r w:rsidR="004E1758">
        <w:rPr>
          <w:sz w:val="28"/>
          <w:szCs w:val="28"/>
        </w:rPr>
        <w:t>ь</w:t>
      </w:r>
      <w:r w:rsidRPr="00AA562D">
        <w:rPr>
          <w:sz w:val="28"/>
          <w:szCs w:val="28"/>
        </w:rPr>
        <w:t xml:space="preserve"> марки </w:t>
      </w:r>
      <w:r w:rsidRPr="00AA562D">
        <w:rPr>
          <w:sz w:val="28"/>
          <w:szCs w:val="28"/>
          <w:lang w:val="en-US"/>
        </w:rPr>
        <w:t>Urals</w:t>
      </w:r>
      <w:r w:rsidRPr="00AA562D">
        <w:rPr>
          <w:sz w:val="28"/>
          <w:szCs w:val="28"/>
        </w:rPr>
        <w:t xml:space="preserve"> на 10% приводит к уменьшению доходов федерального бюджета на 1,1% ВВП. При колебаниях среднегодовых мировых цен на нефть за последние 10 лет от 24 до 109 долларов США за баррель нефтегазовые доходы федерального бюджета изменялись в пределах от 4,3% до 10,</w:t>
      </w:r>
      <w:r w:rsidR="00907BB5" w:rsidRPr="00AA562D">
        <w:rPr>
          <w:sz w:val="28"/>
          <w:szCs w:val="28"/>
        </w:rPr>
        <w:t>3</w:t>
      </w:r>
      <w:r w:rsidRPr="00AA562D">
        <w:rPr>
          <w:sz w:val="28"/>
          <w:szCs w:val="28"/>
        </w:rPr>
        <w:t xml:space="preserve">% ВВП. </w:t>
      </w:r>
    </w:p>
    <w:p w:rsidR="008A7369" w:rsidRPr="00AA562D" w:rsidRDefault="008A7369" w:rsidP="008A7369">
      <w:pPr>
        <w:spacing w:after="0" w:line="360" w:lineRule="auto"/>
        <w:ind w:firstLine="851"/>
        <w:jc w:val="both"/>
        <w:rPr>
          <w:sz w:val="28"/>
          <w:szCs w:val="28"/>
        </w:rPr>
      </w:pPr>
      <w:r w:rsidRPr="00AA562D">
        <w:rPr>
          <w:sz w:val="28"/>
          <w:szCs w:val="28"/>
        </w:rPr>
        <w:t>Отсутствие четких механизмов управления нефтегазовыми доходами бюджета делает российскую экономику уязвимой к внешним шокам, повышает макроэкономические риски и существенно ослабляет инвестиционную привлекательность.</w:t>
      </w:r>
    </w:p>
    <w:p w:rsidR="00982E4A" w:rsidRPr="00AA562D" w:rsidRDefault="008A7369" w:rsidP="00982E4A">
      <w:pPr>
        <w:spacing w:after="0" w:line="360" w:lineRule="auto"/>
        <w:ind w:firstLine="851"/>
        <w:jc w:val="both"/>
        <w:rPr>
          <w:sz w:val="28"/>
          <w:szCs w:val="28"/>
        </w:rPr>
      </w:pPr>
      <w:r w:rsidRPr="00AA562D">
        <w:rPr>
          <w:rFonts w:eastAsia="Calibri"/>
          <w:sz w:val="28"/>
          <w:szCs w:val="28"/>
        </w:rPr>
        <w:t xml:space="preserve">В контексте этих </w:t>
      </w:r>
      <w:r w:rsidRPr="00AA562D">
        <w:rPr>
          <w:sz w:val="28"/>
          <w:szCs w:val="28"/>
        </w:rPr>
        <w:t>рисков</w:t>
      </w:r>
      <w:r w:rsidRPr="00AA562D">
        <w:rPr>
          <w:rFonts w:eastAsia="Calibri"/>
          <w:sz w:val="28"/>
          <w:szCs w:val="28"/>
        </w:rPr>
        <w:t xml:space="preserve"> ключевые задачи в области бюджетно-налоговой политики состоят в обеспечении </w:t>
      </w:r>
      <w:r w:rsidRPr="00AA562D">
        <w:rPr>
          <w:sz w:val="28"/>
          <w:szCs w:val="28"/>
        </w:rPr>
        <w:t xml:space="preserve">долгосрочной </w:t>
      </w:r>
      <w:r w:rsidRPr="00AA562D">
        <w:rPr>
          <w:rFonts w:eastAsia="Calibri"/>
          <w:sz w:val="28"/>
          <w:szCs w:val="28"/>
        </w:rPr>
        <w:t>макроэкономической стабильности, ответственном исполнении принятых обязательств наиболее эффективным способом и стимулировании устойчивого экономическ</w:t>
      </w:r>
      <w:r w:rsidRPr="00AA562D">
        <w:rPr>
          <w:sz w:val="28"/>
          <w:szCs w:val="28"/>
        </w:rPr>
        <w:t>ого роста посредством налоговых и бюджетных</w:t>
      </w:r>
      <w:r w:rsidRPr="00AA562D">
        <w:rPr>
          <w:rFonts w:eastAsia="Calibri"/>
          <w:sz w:val="28"/>
          <w:szCs w:val="28"/>
        </w:rPr>
        <w:t xml:space="preserve"> механизмов.</w:t>
      </w:r>
    </w:p>
    <w:p w:rsidR="00484FC4" w:rsidRPr="00AA562D" w:rsidRDefault="008A7369" w:rsidP="00982E4A">
      <w:pPr>
        <w:spacing w:after="0" w:line="360" w:lineRule="auto"/>
        <w:ind w:firstLine="851"/>
        <w:jc w:val="both"/>
        <w:rPr>
          <w:sz w:val="28"/>
          <w:szCs w:val="28"/>
        </w:rPr>
      </w:pPr>
      <w:r w:rsidRPr="00AA562D">
        <w:rPr>
          <w:sz w:val="28"/>
          <w:szCs w:val="28"/>
        </w:rPr>
        <w:lastRenderedPageBreak/>
        <w:t>Для реализации поставленных задач в 2012 году было принято решение о восстановлении «бюджетных правил», регулирующих использование бюджетных доходов, связанных с колебанием цен на природные ресурсы. Вступившие в силу с 1 января 2013 г. новые бюджетные правила</w:t>
      </w:r>
      <w:r w:rsidR="00982E4A" w:rsidRPr="00AA562D">
        <w:rPr>
          <w:sz w:val="28"/>
          <w:szCs w:val="28"/>
        </w:rPr>
        <w:t>, как уже отмечалось ранее, предполагают установление верхнего предела федеральных расходов, которые будут ограничиваться суммой нефтегазовых доходов (с учетом средн</w:t>
      </w:r>
      <w:r w:rsidR="00484FC4" w:rsidRPr="00AA562D">
        <w:rPr>
          <w:sz w:val="28"/>
          <w:szCs w:val="28"/>
        </w:rPr>
        <w:t>ей за несколько лет цены нефти) и</w:t>
      </w:r>
      <w:r w:rsidR="00EA703E">
        <w:rPr>
          <w:sz w:val="28"/>
          <w:szCs w:val="28"/>
        </w:rPr>
        <w:t xml:space="preserve"> </w:t>
      </w:r>
      <w:r w:rsidR="00982E4A" w:rsidRPr="00AA562D">
        <w:rPr>
          <w:sz w:val="28"/>
          <w:szCs w:val="28"/>
        </w:rPr>
        <w:t>ненефтегазовых доходов</w:t>
      </w:r>
      <w:r w:rsidR="00484FC4" w:rsidRPr="00AA562D">
        <w:rPr>
          <w:sz w:val="28"/>
          <w:szCs w:val="28"/>
        </w:rPr>
        <w:t>, увеличенной на</w:t>
      </w:r>
      <w:r w:rsidR="00982E4A" w:rsidRPr="00AA562D">
        <w:rPr>
          <w:sz w:val="28"/>
          <w:szCs w:val="28"/>
        </w:rPr>
        <w:t xml:space="preserve"> 1% ВВП. </w:t>
      </w:r>
    </w:p>
    <w:p w:rsidR="008A7369" w:rsidRPr="00AA562D" w:rsidRDefault="00A94D73" w:rsidP="00534D0F">
      <w:pPr>
        <w:spacing w:after="0" w:line="360" w:lineRule="auto"/>
        <w:ind w:firstLine="851"/>
        <w:jc w:val="both"/>
        <w:rPr>
          <w:sz w:val="28"/>
          <w:szCs w:val="28"/>
        </w:rPr>
      </w:pPr>
      <w:r w:rsidRPr="00AA562D">
        <w:rPr>
          <w:sz w:val="28"/>
          <w:szCs w:val="28"/>
        </w:rPr>
        <w:t>Принятие</w:t>
      </w:r>
      <w:r w:rsidR="00484FC4" w:rsidRPr="00AA562D">
        <w:rPr>
          <w:sz w:val="28"/>
          <w:szCs w:val="28"/>
        </w:rPr>
        <w:t xml:space="preserve"> данных правил </w:t>
      </w:r>
      <w:r w:rsidRPr="00AA562D">
        <w:rPr>
          <w:sz w:val="28"/>
          <w:szCs w:val="28"/>
        </w:rPr>
        <w:t>в том виде, в котором они сейчас существуют, решает задачу «законодательного закрепления бюджетных (фискальных) правил, регулирующих использование нефтегазовых доходов и определяющих ограничения дефицита федерального бюджета» Государственной</w:t>
      </w:r>
      <w:r w:rsidR="00484FC4" w:rsidRPr="00AA562D">
        <w:rPr>
          <w:sz w:val="28"/>
          <w:szCs w:val="28"/>
        </w:rPr>
        <w:t xml:space="preserve"> программы Российской Федерации «Управление государственными финансами»</w:t>
      </w:r>
      <w:r w:rsidRPr="00AA562D">
        <w:rPr>
          <w:sz w:val="28"/>
          <w:szCs w:val="28"/>
        </w:rPr>
        <w:t>. Государственная программа утверждена распоряжением Правительства Российской Федерации от 4 марта 2013 года № 293-р</w:t>
      </w:r>
      <w:r w:rsidR="00F35CEE">
        <w:rPr>
          <w:rStyle w:val="a7"/>
          <w:sz w:val="28"/>
          <w:szCs w:val="28"/>
        </w:rPr>
        <w:footnoteReference w:id="10"/>
      </w:r>
      <w:r w:rsidRPr="00AA562D">
        <w:rPr>
          <w:sz w:val="28"/>
          <w:szCs w:val="28"/>
        </w:rPr>
        <w:t xml:space="preserve">, ее целью является обеспечение долгосрочной сбалансированности </w:t>
      </w:r>
      <w:r w:rsidR="00534D0F" w:rsidRPr="00AA562D">
        <w:rPr>
          <w:sz w:val="28"/>
          <w:szCs w:val="28"/>
        </w:rPr>
        <w:t xml:space="preserve">и устойчивости бюджетной системы, повышение качества управления государственными финансами. Принятые правила </w:t>
      </w:r>
      <w:r w:rsidR="008A7369" w:rsidRPr="00AA562D">
        <w:rPr>
          <w:sz w:val="28"/>
          <w:szCs w:val="28"/>
        </w:rPr>
        <w:t xml:space="preserve">направлены на </w:t>
      </w:r>
      <w:r w:rsidR="00534D0F" w:rsidRPr="00AA562D">
        <w:rPr>
          <w:sz w:val="28"/>
          <w:szCs w:val="28"/>
        </w:rPr>
        <w:t>достижение цели Государственной программы,</w:t>
      </w:r>
      <w:r w:rsidR="008A7369" w:rsidRPr="00AA562D">
        <w:rPr>
          <w:rFonts w:eastAsia="Arial Unicode MS"/>
          <w:sz w:val="28"/>
          <w:szCs w:val="28"/>
        </w:rPr>
        <w:t xml:space="preserve"> а также на сокращение зависимости доходной части федерального бюджета от нефтегазовых доходов.</w:t>
      </w:r>
    </w:p>
    <w:p w:rsidR="003837E4" w:rsidRPr="00AA562D" w:rsidRDefault="008A7369" w:rsidP="003837E4">
      <w:pPr>
        <w:spacing w:after="0" w:line="360" w:lineRule="auto"/>
        <w:ind w:firstLine="851"/>
        <w:jc w:val="both"/>
        <w:rPr>
          <w:sz w:val="28"/>
          <w:szCs w:val="28"/>
        </w:rPr>
      </w:pPr>
      <w:r w:rsidRPr="00AA562D">
        <w:rPr>
          <w:rFonts w:eastAsia="Arial Unicode MS"/>
          <w:sz w:val="28"/>
          <w:szCs w:val="28"/>
        </w:rPr>
        <w:t xml:space="preserve">Утвержденные бюджетные правила создали условия для установления предельных расходов (а значит и уровня дефицита) бюджета на основе не прогнозируемой, а расчетной цены на нефть, определяемой как среднее значение цен за ряд предыдущих лет. </w:t>
      </w:r>
      <w:r w:rsidRPr="00AA562D">
        <w:rPr>
          <w:sz w:val="28"/>
          <w:szCs w:val="28"/>
        </w:rPr>
        <w:t>Такой механизм формирования базовой цены позволяет избежать субъективизма при ее установлении,</w:t>
      </w:r>
      <w:r w:rsidR="00907BB5" w:rsidRPr="00AA562D">
        <w:rPr>
          <w:sz w:val="28"/>
          <w:szCs w:val="28"/>
        </w:rPr>
        <w:t xml:space="preserve"> который возникал ранее при прогнозировании цен,</w:t>
      </w:r>
      <w:r w:rsidR="00EA703E">
        <w:rPr>
          <w:sz w:val="28"/>
          <w:szCs w:val="28"/>
        </w:rPr>
        <w:t xml:space="preserve"> </w:t>
      </w:r>
      <w:r w:rsidRPr="00AA562D">
        <w:rPr>
          <w:sz w:val="28"/>
          <w:szCs w:val="28"/>
        </w:rPr>
        <w:lastRenderedPageBreak/>
        <w:t>обеспечивает ее гибкую адаптацию к циклическим изменениям внешнеэкономической конъюнктуры и в то же время делает ее устойчивой по отношению к краткосрочным колебаниям.</w:t>
      </w:r>
    </w:p>
    <w:p w:rsidR="008467F0" w:rsidRPr="00AA562D" w:rsidRDefault="008365E5" w:rsidP="008467F0">
      <w:pPr>
        <w:spacing w:after="0" w:line="360" w:lineRule="auto"/>
        <w:ind w:firstLine="851"/>
        <w:jc w:val="both"/>
        <w:rPr>
          <w:rFonts w:eastAsia="Arial Unicode MS"/>
          <w:sz w:val="28"/>
          <w:szCs w:val="28"/>
        </w:rPr>
      </w:pPr>
      <w:r w:rsidRPr="00AA562D">
        <w:rPr>
          <w:rFonts w:eastAsia="Arial Unicode MS"/>
          <w:sz w:val="28"/>
          <w:szCs w:val="28"/>
        </w:rPr>
        <w:t xml:space="preserve">Введение бюджетных правил </w:t>
      </w:r>
      <w:r w:rsidR="008E2D53" w:rsidRPr="00AA562D">
        <w:rPr>
          <w:rFonts w:eastAsia="Arial Unicode MS"/>
          <w:sz w:val="28"/>
          <w:szCs w:val="28"/>
        </w:rPr>
        <w:t xml:space="preserve">позволит уйти от чрезмерного наращивания государственных расходов, характерного для российской экономики, о чем свидетельствуют данные таблицы </w:t>
      </w:r>
      <w:r w:rsidR="0051540B" w:rsidRPr="0051540B">
        <w:rPr>
          <w:rFonts w:eastAsia="Arial Unicode MS"/>
          <w:sz w:val="28"/>
          <w:szCs w:val="28"/>
        </w:rPr>
        <w:t>6</w:t>
      </w:r>
      <w:r w:rsidR="008E2D53" w:rsidRPr="00AA562D">
        <w:rPr>
          <w:rFonts w:eastAsia="Arial Unicode MS"/>
          <w:sz w:val="28"/>
          <w:szCs w:val="28"/>
        </w:rPr>
        <w:t xml:space="preserve">, демонстрирующие динамику роста расходов федерального бюджета относительно ВВП за последнее десятилетие. </w:t>
      </w:r>
      <w:r w:rsidR="00481AC4" w:rsidRPr="00AA562D">
        <w:rPr>
          <w:rFonts w:eastAsia="Arial Unicode MS"/>
          <w:sz w:val="28"/>
          <w:szCs w:val="28"/>
        </w:rPr>
        <w:t>В отсутствии жестких правил, регламентирующих проведение бюджетной политики</w:t>
      </w:r>
      <w:r w:rsidR="00122FA5" w:rsidRPr="00AA562D">
        <w:rPr>
          <w:rFonts w:eastAsia="Arial Unicode MS"/>
          <w:sz w:val="28"/>
          <w:szCs w:val="28"/>
        </w:rPr>
        <w:t>,</w:t>
      </w:r>
      <w:r w:rsidR="00481AC4" w:rsidRPr="00AA562D">
        <w:rPr>
          <w:rFonts w:eastAsia="Arial Unicode MS"/>
          <w:sz w:val="28"/>
          <w:szCs w:val="28"/>
        </w:rPr>
        <w:t xml:space="preserve"> высокие цены на нефть создают соблазн популистского наращивания расходов бюджета</w:t>
      </w:r>
      <w:r w:rsidR="00122FA5" w:rsidRPr="00AA562D">
        <w:rPr>
          <w:rFonts w:eastAsia="Arial Unicode MS"/>
          <w:sz w:val="28"/>
          <w:szCs w:val="28"/>
        </w:rPr>
        <w:t xml:space="preserve"> (Кудрин, 2012)</w:t>
      </w:r>
      <w:r w:rsidR="003837E4" w:rsidRPr="00AA562D">
        <w:rPr>
          <w:rFonts w:eastAsia="Arial Unicode MS"/>
          <w:sz w:val="28"/>
          <w:szCs w:val="28"/>
        </w:rPr>
        <w:t>. Исходя из положений экономики общественного сектора, наращивание государственных расходов ставит перед правительством страны проблему альтернативных издержек. Для того, чтобы обеспечить рост расходов, необходимо либо увеличить дефицит, либо способствовать увеличению доходной части бюджета за счет налогов. Рост дефицита требует, в конце концов, его финансировани</w:t>
      </w:r>
      <w:r w:rsidR="004057F5">
        <w:rPr>
          <w:rFonts w:eastAsia="Arial Unicode MS"/>
          <w:sz w:val="28"/>
          <w:szCs w:val="28"/>
        </w:rPr>
        <w:t>я</w:t>
      </w:r>
      <w:r w:rsidR="003837E4" w:rsidRPr="00AA562D">
        <w:rPr>
          <w:rFonts w:eastAsia="Arial Unicode MS"/>
          <w:sz w:val="28"/>
          <w:szCs w:val="28"/>
        </w:rPr>
        <w:t xml:space="preserve"> за счет заемных источников, что может оказать негативное инфляционное воздействие на эк</w:t>
      </w:r>
      <w:r w:rsidR="000E400B" w:rsidRPr="00AA562D">
        <w:rPr>
          <w:rFonts w:eastAsia="Arial Unicode MS"/>
          <w:sz w:val="28"/>
          <w:szCs w:val="28"/>
        </w:rPr>
        <w:t>ономику.  Увеличение же налогов</w:t>
      </w:r>
      <w:r w:rsidR="003837E4" w:rsidRPr="00AA562D">
        <w:rPr>
          <w:rFonts w:eastAsia="Arial Unicode MS"/>
          <w:sz w:val="28"/>
          <w:szCs w:val="28"/>
        </w:rPr>
        <w:t>ого</w:t>
      </w:r>
      <w:r w:rsidR="000E400B" w:rsidRPr="00AA562D">
        <w:rPr>
          <w:rFonts w:eastAsia="Arial Unicode MS"/>
          <w:sz w:val="28"/>
          <w:szCs w:val="28"/>
        </w:rPr>
        <w:t xml:space="preserve"> бремени отрицательно скажется на развитии частного сектора, вызовет недовольство населения, будет способствовать «уходу экономики в тень» (Колосницына, 2003). Однако в ресурсодобывающих странах наращивание </w:t>
      </w:r>
      <w:r w:rsidR="008467F0" w:rsidRPr="00AA562D">
        <w:rPr>
          <w:rFonts w:eastAsia="Arial Unicode MS"/>
          <w:sz w:val="28"/>
          <w:szCs w:val="28"/>
        </w:rPr>
        <w:t>государственных расходов, на первый взгляд, возможно без каких-либо проблем лишь за счет благоприятной внешнеэкономической конъюнктуры, чем и пользуются многие правительства. Но стоит отметить, что такой подход к управлению сырьевыми доходами нецелесообразен</w:t>
      </w:r>
      <w:r w:rsidR="00122FA5" w:rsidRPr="00AA562D">
        <w:rPr>
          <w:rFonts w:eastAsia="Arial Unicode MS"/>
          <w:sz w:val="28"/>
          <w:szCs w:val="28"/>
        </w:rPr>
        <w:t xml:space="preserve"> по </w:t>
      </w:r>
      <w:r w:rsidR="008467F0" w:rsidRPr="00AA562D">
        <w:rPr>
          <w:rFonts w:eastAsia="Arial Unicode MS"/>
          <w:sz w:val="28"/>
          <w:szCs w:val="28"/>
        </w:rPr>
        <w:t>ряду причин</w:t>
      </w:r>
      <w:r w:rsidR="00122FA5" w:rsidRPr="00AA562D">
        <w:rPr>
          <w:rFonts w:eastAsia="Arial Unicode MS"/>
          <w:sz w:val="28"/>
          <w:szCs w:val="28"/>
        </w:rPr>
        <w:t xml:space="preserve">. </w:t>
      </w:r>
    </w:p>
    <w:p w:rsidR="008365E5" w:rsidRPr="00AA562D" w:rsidRDefault="00122FA5" w:rsidP="008467F0">
      <w:pPr>
        <w:spacing w:after="0" w:line="360" w:lineRule="auto"/>
        <w:ind w:firstLine="851"/>
        <w:jc w:val="both"/>
        <w:rPr>
          <w:rFonts w:eastAsia="Arial Unicode MS"/>
          <w:sz w:val="28"/>
          <w:szCs w:val="28"/>
        </w:rPr>
      </w:pPr>
      <w:r w:rsidRPr="00AA562D">
        <w:rPr>
          <w:rFonts w:eastAsia="Arial Unicode MS"/>
          <w:sz w:val="28"/>
          <w:szCs w:val="28"/>
        </w:rPr>
        <w:t xml:space="preserve">Во-первых, высокая степень волатильности и непредсказуемости внешнеэкономической конъюнктуры, о которой говорилось ранее, ведет к рискам неисполнения принятых расходных обязательств в периоды внешних шоков и резкого падения цен на нефть. Во-вторых, </w:t>
      </w:r>
      <w:r w:rsidR="008467F0" w:rsidRPr="00AA562D">
        <w:rPr>
          <w:rFonts w:eastAsia="Arial Unicode MS"/>
          <w:sz w:val="28"/>
          <w:szCs w:val="28"/>
        </w:rPr>
        <w:t xml:space="preserve">активное </w:t>
      </w:r>
      <w:r w:rsidR="008467F0" w:rsidRPr="00AA562D">
        <w:rPr>
          <w:rFonts w:eastAsia="Arial Unicode MS"/>
          <w:sz w:val="28"/>
          <w:szCs w:val="28"/>
        </w:rPr>
        <w:lastRenderedPageBreak/>
        <w:t>наращивание расходов бюджета стимулирует избыточный внутренний спрос, что ведет к росту инфляции</w:t>
      </w:r>
      <w:r w:rsidR="009F1110" w:rsidRPr="00AA562D">
        <w:rPr>
          <w:rFonts w:eastAsia="Arial Unicode MS"/>
          <w:sz w:val="28"/>
          <w:szCs w:val="28"/>
        </w:rPr>
        <w:t>, которая в свою очередь снижает конкурентоспособность отечественной продукции.</w:t>
      </w:r>
      <w:r w:rsidR="008467F0" w:rsidRPr="00AA562D">
        <w:rPr>
          <w:rFonts w:eastAsia="Arial Unicode MS"/>
          <w:sz w:val="28"/>
          <w:szCs w:val="28"/>
        </w:rPr>
        <w:t xml:space="preserve"> Кроме того, рост государственных расходов в период высоких цен снижает качество управления государственными финансами, ведет к появлению неэффективных расходов. Как результат, происходит расширение государственного сектора, вытеснение частных инвестиций, ухудшение инвестиционного климата</w:t>
      </w:r>
      <w:r w:rsidR="009F1110" w:rsidRPr="00AA562D">
        <w:rPr>
          <w:rFonts w:eastAsia="Arial Unicode MS"/>
          <w:sz w:val="28"/>
          <w:szCs w:val="28"/>
        </w:rPr>
        <w:t>, замедление экономического роста.</w:t>
      </w:r>
    </w:p>
    <w:p w:rsidR="00CB33C9" w:rsidRPr="00AA562D" w:rsidRDefault="004057F5" w:rsidP="008467F0">
      <w:pPr>
        <w:spacing w:after="0" w:line="360" w:lineRule="auto"/>
        <w:ind w:firstLine="851"/>
        <w:jc w:val="both"/>
        <w:rPr>
          <w:rFonts w:eastAsia="Arial Unicode MS"/>
          <w:sz w:val="28"/>
          <w:szCs w:val="28"/>
        </w:rPr>
      </w:pPr>
      <w:r w:rsidRPr="00AA562D">
        <w:rPr>
          <w:rFonts w:eastAsia="Arial Unicode MS"/>
          <w:sz w:val="28"/>
          <w:szCs w:val="28"/>
        </w:rPr>
        <w:t>В этой связи вопросы государственного регулирования экономики в современных условиях являются ключевыми.</w:t>
      </w:r>
      <w:r>
        <w:rPr>
          <w:rFonts w:eastAsia="Arial Unicode MS"/>
          <w:sz w:val="28"/>
          <w:szCs w:val="28"/>
        </w:rPr>
        <w:t xml:space="preserve"> Здесь стоит заметить, что п</w:t>
      </w:r>
      <w:r w:rsidR="00041667" w:rsidRPr="00AA562D">
        <w:rPr>
          <w:rFonts w:eastAsia="Arial Unicode MS"/>
          <w:sz w:val="28"/>
          <w:szCs w:val="28"/>
        </w:rPr>
        <w:t>оложения к</w:t>
      </w:r>
      <w:r w:rsidR="00E71ABE" w:rsidRPr="00AA562D">
        <w:rPr>
          <w:rFonts w:eastAsia="Arial Unicode MS"/>
          <w:sz w:val="28"/>
          <w:szCs w:val="28"/>
        </w:rPr>
        <w:t>лассическ</w:t>
      </w:r>
      <w:r w:rsidR="00041667" w:rsidRPr="00AA562D">
        <w:rPr>
          <w:rFonts w:eastAsia="Arial Unicode MS"/>
          <w:sz w:val="28"/>
          <w:szCs w:val="28"/>
        </w:rPr>
        <w:t>ой</w:t>
      </w:r>
      <w:r>
        <w:rPr>
          <w:rFonts w:eastAsia="Arial Unicode MS"/>
          <w:sz w:val="28"/>
          <w:szCs w:val="28"/>
        </w:rPr>
        <w:t xml:space="preserve"> </w:t>
      </w:r>
      <w:r w:rsidR="00041667" w:rsidRPr="00AA562D">
        <w:rPr>
          <w:rFonts w:eastAsia="Arial Unicode MS"/>
          <w:sz w:val="28"/>
          <w:szCs w:val="28"/>
        </w:rPr>
        <w:t>политической экономии, в основе которой лежит концепция экономического либерализма, базирующаяся на принципах невмешательства государства в экономику и выполнения им функций «ночного сторожа» (установление правил поведения экономических агентов и контроль за их соблюдением), оказались лишь идеальной моделью, которая не встречается в реальном мире</w:t>
      </w:r>
      <w:r w:rsidR="00D76C4D" w:rsidRPr="00AA562D">
        <w:rPr>
          <w:rFonts w:eastAsia="Arial Unicode MS"/>
          <w:sz w:val="28"/>
          <w:szCs w:val="28"/>
        </w:rPr>
        <w:t xml:space="preserve"> (Ядгаров, 2000)</w:t>
      </w:r>
      <w:r w:rsidR="00041667" w:rsidRPr="00AA562D">
        <w:rPr>
          <w:rFonts w:eastAsia="Arial Unicode MS"/>
          <w:sz w:val="28"/>
          <w:szCs w:val="28"/>
        </w:rPr>
        <w:t xml:space="preserve">. </w:t>
      </w:r>
      <w:r>
        <w:rPr>
          <w:rFonts w:eastAsia="Arial Unicode MS"/>
          <w:sz w:val="28"/>
          <w:szCs w:val="28"/>
        </w:rPr>
        <w:t xml:space="preserve">Как результат, появились иные взгляды на роль государственного регулирования экономики, среди которых мне бы хотелось отметить </w:t>
      </w:r>
      <w:r w:rsidR="00405732" w:rsidRPr="00AA562D">
        <w:rPr>
          <w:rFonts w:eastAsia="Arial Unicode MS"/>
          <w:sz w:val="28"/>
          <w:szCs w:val="28"/>
        </w:rPr>
        <w:t xml:space="preserve">два основных направления: кейнсианство и неолиберализм. Согласно экономической теории Кейнса и его последователей, государственные расходы оказывают непосредственное влияние на величину совокупного спроса и сильное мультипликативное воздействие на потребительские расходы, а значит, проводимая государством фискальная политика </w:t>
      </w:r>
      <w:r w:rsidR="004E1758">
        <w:rPr>
          <w:rFonts w:eastAsia="Arial Unicode MS"/>
          <w:sz w:val="28"/>
          <w:szCs w:val="28"/>
        </w:rPr>
        <w:t xml:space="preserve">по </w:t>
      </w:r>
      <w:r w:rsidR="00405732" w:rsidRPr="00AA562D">
        <w:rPr>
          <w:rFonts w:eastAsia="Arial Unicode MS"/>
          <w:sz w:val="28"/>
          <w:szCs w:val="28"/>
        </w:rPr>
        <w:t>увеличению расходов будет стимулировать рост ВВП. Однако, как показывает исторический опыт, проведение бюджетной политики, основанной на кейнсианской модели, окажет положительное воздействие на экономику лишь в условиях краткосрочной стабилизации внутренне нестабильной экономики (Агапова, Серегина, 2009).</w:t>
      </w:r>
      <w:r w:rsidR="006B3E93" w:rsidRPr="00AA562D">
        <w:rPr>
          <w:rFonts w:eastAsia="Arial Unicode MS"/>
          <w:sz w:val="28"/>
          <w:szCs w:val="28"/>
        </w:rPr>
        <w:t xml:space="preserve"> В долгосрочной же перспективе «реализация концепции Кейнса на практике приводит &lt;…&gt; к </w:t>
      </w:r>
      <w:r w:rsidR="006B3E93" w:rsidRPr="00AA562D">
        <w:rPr>
          <w:rFonts w:eastAsia="Arial Unicode MS"/>
          <w:sz w:val="28"/>
          <w:szCs w:val="28"/>
        </w:rPr>
        <w:lastRenderedPageBreak/>
        <w:t>увеличению общегосударственного бюджетного дефицита и нескончаемой инфляции» (Ховард, Журавлева, 1995, с. 278).</w:t>
      </w:r>
      <w:r w:rsidR="00B75656" w:rsidRPr="00AA562D">
        <w:rPr>
          <w:rFonts w:eastAsia="Arial Unicode MS"/>
          <w:sz w:val="28"/>
          <w:szCs w:val="28"/>
        </w:rPr>
        <w:t xml:space="preserve"> Эта двойственность обусловлена тем фактом, что рост государственных расходов до некоторого времени действительно стимулирует экономический рост, так как государство инвестирует в создание инфраструктуры для развития экономики, обеспечивает поддержание отечественного производства посредством государственного заказа, производит общественные блага, однако бесконечный рост государственного сектора приводит к обратным эфф</w:t>
      </w:r>
      <w:r w:rsidR="004E1758">
        <w:rPr>
          <w:rFonts w:eastAsia="Arial Unicode MS"/>
          <w:sz w:val="28"/>
          <w:szCs w:val="28"/>
        </w:rPr>
        <w:t>екта</w:t>
      </w:r>
      <w:r w:rsidR="00B75656" w:rsidRPr="00AA562D">
        <w:rPr>
          <w:rFonts w:eastAsia="Arial Unicode MS"/>
          <w:sz w:val="28"/>
          <w:szCs w:val="28"/>
        </w:rPr>
        <w:t>м и замедляет экономический рост (</w:t>
      </w:r>
      <w:r w:rsidR="00CB33C9" w:rsidRPr="00AA562D">
        <w:rPr>
          <w:rFonts w:eastAsia="Arial Unicode MS"/>
          <w:sz w:val="28"/>
          <w:szCs w:val="28"/>
        </w:rPr>
        <w:t>Гортни, 2001</w:t>
      </w:r>
      <w:r w:rsidR="00B75656" w:rsidRPr="00AA562D">
        <w:rPr>
          <w:rFonts w:eastAsia="Arial Unicode MS"/>
          <w:sz w:val="28"/>
          <w:szCs w:val="28"/>
        </w:rPr>
        <w:t>).</w:t>
      </w:r>
      <w:r w:rsidR="00CB33C9" w:rsidRPr="00AA562D">
        <w:rPr>
          <w:rFonts w:eastAsia="Arial Unicode MS"/>
          <w:sz w:val="28"/>
          <w:szCs w:val="28"/>
        </w:rPr>
        <w:t xml:space="preserve"> Данная зависимость представляет соб</w:t>
      </w:r>
      <w:r w:rsidR="003E504A">
        <w:rPr>
          <w:rFonts w:eastAsia="Arial Unicode MS"/>
          <w:sz w:val="28"/>
          <w:szCs w:val="28"/>
        </w:rPr>
        <w:t>ой перевернутую параболу (Рис. 7</w:t>
      </w:r>
      <w:r w:rsidR="00CB33C9" w:rsidRPr="00AA562D">
        <w:rPr>
          <w:rFonts w:eastAsia="Arial Unicode MS"/>
          <w:sz w:val="28"/>
          <w:szCs w:val="28"/>
        </w:rPr>
        <w:t>):</w:t>
      </w:r>
    </w:p>
    <w:p w:rsidR="00CB33C9" w:rsidRDefault="00CB33C9" w:rsidP="00CB33C9">
      <w:pPr>
        <w:spacing w:after="0"/>
        <w:jc w:val="center"/>
        <w:rPr>
          <w:rFonts w:eastAsia="Arial Unicode MS"/>
          <w:b/>
          <w:sz w:val="26"/>
          <w:szCs w:val="26"/>
        </w:rPr>
      </w:pPr>
      <w:r w:rsidRPr="00CB33C9">
        <w:rPr>
          <w:rFonts w:eastAsia="Arial Unicode MS"/>
          <w:b/>
          <w:sz w:val="26"/>
          <w:szCs w:val="26"/>
        </w:rPr>
        <w:t>Зависимость темпов экономического роста от размеров государственного сектора</w:t>
      </w:r>
    </w:p>
    <w:p w:rsidR="00CB33C9" w:rsidRPr="00CB33C9" w:rsidRDefault="00CB33C9" w:rsidP="00CB33C9">
      <w:pPr>
        <w:spacing w:after="0"/>
        <w:jc w:val="center"/>
        <w:rPr>
          <w:rFonts w:eastAsia="Arial Unicode MS"/>
          <w:b/>
          <w:sz w:val="26"/>
          <w:szCs w:val="26"/>
        </w:rPr>
      </w:pPr>
      <w:r>
        <w:rPr>
          <w:rFonts w:eastAsia="Arial Unicode MS"/>
          <w:b/>
          <w:noProof/>
          <w:sz w:val="26"/>
          <w:szCs w:val="26"/>
          <w:lang w:eastAsia="ru-RU"/>
        </w:rPr>
        <w:drawing>
          <wp:inline distT="0" distB="0" distL="0" distR="0">
            <wp:extent cx="3295650" cy="2371725"/>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3295650" cy="2371725"/>
                    </a:xfrm>
                    <a:prstGeom prst="rect">
                      <a:avLst/>
                    </a:prstGeom>
                    <a:noFill/>
                    <a:ln w="9525">
                      <a:noFill/>
                      <a:miter lim="800000"/>
                      <a:headEnd/>
                      <a:tailEnd/>
                    </a:ln>
                  </pic:spPr>
                </pic:pic>
              </a:graphicData>
            </a:graphic>
          </wp:inline>
        </w:drawing>
      </w:r>
    </w:p>
    <w:p w:rsidR="00CB33C9" w:rsidRDefault="00CB33C9" w:rsidP="008467F0">
      <w:pPr>
        <w:spacing w:after="0" w:line="360" w:lineRule="auto"/>
        <w:ind w:firstLine="851"/>
        <w:jc w:val="both"/>
        <w:rPr>
          <w:i/>
        </w:rPr>
      </w:pPr>
      <w:r w:rsidRPr="00CB33C9">
        <w:rPr>
          <w:rFonts w:eastAsia="Arial Unicode MS"/>
          <w:i/>
        </w:rPr>
        <w:t xml:space="preserve">Источник: </w:t>
      </w:r>
      <w:r w:rsidRPr="00CB33C9">
        <w:rPr>
          <w:i/>
        </w:rPr>
        <w:t>Гортни Дж. Пути экономического роста: международный опыт</w:t>
      </w:r>
    </w:p>
    <w:p w:rsidR="00CB33C9" w:rsidRPr="003E504A" w:rsidRDefault="003E504A" w:rsidP="00CB33C9">
      <w:pPr>
        <w:spacing w:after="0" w:line="360" w:lineRule="auto"/>
        <w:ind w:firstLine="851"/>
        <w:jc w:val="center"/>
        <w:rPr>
          <w:rFonts w:eastAsia="Arial Unicode MS"/>
          <w:sz w:val="28"/>
          <w:szCs w:val="28"/>
        </w:rPr>
      </w:pPr>
      <w:r w:rsidRPr="003E504A">
        <w:rPr>
          <w:sz w:val="28"/>
          <w:szCs w:val="28"/>
        </w:rPr>
        <w:t>Рис. 7</w:t>
      </w:r>
    </w:p>
    <w:p w:rsidR="00CB33C9" w:rsidRDefault="00CB33C9" w:rsidP="008467F0">
      <w:pPr>
        <w:spacing w:after="0" w:line="360" w:lineRule="auto"/>
        <w:ind w:firstLine="851"/>
        <w:jc w:val="both"/>
        <w:rPr>
          <w:rFonts w:eastAsia="Arial Unicode MS"/>
          <w:sz w:val="26"/>
          <w:szCs w:val="26"/>
        </w:rPr>
      </w:pPr>
    </w:p>
    <w:p w:rsidR="007A28F5" w:rsidRPr="00AA562D" w:rsidRDefault="00B75656" w:rsidP="008467F0">
      <w:pPr>
        <w:spacing w:after="0" w:line="360" w:lineRule="auto"/>
        <w:ind w:firstLine="851"/>
        <w:jc w:val="both"/>
        <w:rPr>
          <w:rFonts w:eastAsia="Arial Unicode MS"/>
          <w:sz w:val="28"/>
          <w:szCs w:val="28"/>
        </w:rPr>
      </w:pPr>
      <w:r w:rsidRPr="00AA562D">
        <w:rPr>
          <w:rFonts w:eastAsia="Arial Unicode MS"/>
          <w:sz w:val="28"/>
          <w:szCs w:val="28"/>
        </w:rPr>
        <w:t>Именно поэтому на смену кейнсиантсву пришел неолиберальный экономический курс, который ставит задачу сниж</w:t>
      </w:r>
      <w:r w:rsidR="007A28F5" w:rsidRPr="00AA562D">
        <w:rPr>
          <w:rFonts w:eastAsia="Arial Unicode MS"/>
          <w:sz w:val="28"/>
          <w:szCs w:val="28"/>
        </w:rPr>
        <w:t>ения вмешательства в экономику. Данная задача может быть решена за счет снижения доли государственных расходов и создания необходимых стимулов для привлечения частных инвестиций.</w:t>
      </w:r>
    </w:p>
    <w:p w:rsidR="005C7D16" w:rsidRPr="00AA562D" w:rsidRDefault="005C7D16" w:rsidP="007A28F5">
      <w:pPr>
        <w:spacing w:after="0" w:line="360" w:lineRule="auto"/>
        <w:ind w:firstLine="851"/>
        <w:jc w:val="both"/>
        <w:rPr>
          <w:rFonts w:eastAsia="Arial Unicode MS"/>
          <w:sz w:val="28"/>
          <w:szCs w:val="28"/>
        </w:rPr>
      </w:pPr>
      <w:r w:rsidRPr="00AA562D">
        <w:rPr>
          <w:rFonts w:eastAsia="Arial Unicode MS"/>
          <w:sz w:val="28"/>
          <w:szCs w:val="28"/>
        </w:rPr>
        <w:t xml:space="preserve">Введение новых бюджетных правил позволяет решить проблему излишнего наращивания бюджетных расходов за счет установления </w:t>
      </w:r>
      <w:r w:rsidRPr="00AA562D">
        <w:rPr>
          <w:rFonts w:eastAsia="Arial Unicode MS"/>
          <w:sz w:val="28"/>
          <w:szCs w:val="28"/>
        </w:rPr>
        <w:lastRenderedPageBreak/>
        <w:t xml:space="preserve">предельного объема расходов федерального бюджета. На основании данного объема будут рассчитываться «потолки» расходования средств по каждой государственной программе Российской Федерации в рамках долгосрочной бюджетной стратегии, что является требованием Государственной программы «Управление государственными финансами». Таким образом, </w:t>
      </w:r>
      <w:r w:rsidR="00C56F55" w:rsidRPr="00AA562D">
        <w:rPr>
          <w:rFonts w:eastAsia="Arial Unicode MS"/>
          <w:sz w:val="28"/>
          <w:szCs w:val="28"/>
        </w:rPr>
        <w:t>принятие бюджетных правил и установление «потолков» расходов будут способствовать переходу от экстенсивной политики государственных расходов к и</w:t>
      </w:r>
      <w:r w:rsidR="007A28F5" w:rsidRPr="00AA562D">
        <w:rPr>
          <w:rFonts w:eastAsia="Arial Unicode MS"/>
          <w:sz w:val="28"/>
          <w:szCs w:val="28"/>
        </w:rPr>
        <w:t>нтенсивной, то есть к повышению</w:t>
      </w:r>
      <w:r w:rsidR="00C56F55" w:rsidRPr="00AA562D">
        <w:rPr>
          <w:rFonts w:eastAsia="Arial Unicode MS"/>
          <w:sz w:val="28"/>
          <w:szCs w:val="28"/>
        </w:rPr>
        <w:t xml:space="preserve"> качества управления общественными финансами. </w:t>
      </w:r>
    </w:p>
    <w:p w:rsidR="008A7369" w:rsidRPr="00AA562D" w:rsidRDefault="007A28F5" w:rsidP="008A7369">
      <w:pPr>
        <w:spacing w:after="0" w:line="360" w:lineRule="auto"/>
        <w:ind w:firstLine="851"/>
        <w:jc w:val="both"/>
        <w:rPr>
          <w:rFonts w:eastAsia="Arial Unicode MS"/>
          <w:sz w:val="28"/>
          <w:szCs w:val="28"/>
        </w:rPr>
      </w:pPr>
      <w:r w:rsidRPr="00AA562D">
        <w:rPr>
          <w:rFonts w:eastAsia="Arial Unicode MS"/>
          <w:sz w:val="28"/>
          <w:szCs w:val="28"/>
        </w:rPr>
        <w:t xml:space="preserve">Говоря о механизме действия новых правил, стоит отметить, что они </w:t>
      </w:r>
      <w:r w:rsidR="00907BB5" w:rsidRPr="00AA562D">
        <w:rPr>
          <w:sz w:val="28"/>
          <w:szCs w:val="28"/>
        </w:rPr>
        <w:t>реализую</w:t>
      </w:r>
      <w:r w:rsidR="008A7369" w:rsidRPr="00AA562D">
        <w:rPr>
          <w:sz w:val="28"/>
          <w:szCs w:val="28"/>
        </w:rPr>
        <w:t>т следующий общий подход. В случае, если цена на нефть краткосрочно отклоняется вверх или вниз от текущего уровня, то на расходах это почти не отражается, а изменение доходов сглаживается за счет накопления либо использования средств Резервного фонда. Если цена устойчиво переходит на более высокий (или более низкий) уровень, то базовая цена на нефть также повышается (снижается) и расходы увеличиваются (снижаются).</w:t>
      </w:r>
    </w:p>
    <w:p w:rsidR="002F0397" w:rsidRPr="00AA562D" w:rsidRDefault="008A7369" w:rsidP="00AA562D">
      <w:pPr>
        <w:spacing w:after="0" w:line="360" w:lineRule="auto"/>
        <w:ind w:firstLine="851"/>
        <w:jc w:val="both"/>
        <w:rPr>
          <w:rFonts w:eastAsia="Arial Unicode MS"/>
          <w:sz w:val="28"/>
          <w:szCs w:val="28"/>
        </w:rPr>
      </w:pPr>
      <w:r w:rsidRPr="00AA562D">
        <w:rPr>
          <w:rFonts w:eastAsia="Arial Unicode MS"/>
          <w:sz w:val="28"/>
          <w:szCs w:val="28"/>
        </w:rPr>
        <w:t>В том случае, если бы данное бюджетное правило по определению базовой цены в том виде, в котором оно существует на сегодняшний день, было введено с 2004 года, при принятии решения о создании Стабилизационного фонда, или даже с 2008 года вместо введения понятия нефтегазового трансферта, то базовая цена в рассматриваемы</w:t>
      </w:r>
      <w:r w:rsidR="002E7352" w:rsidRPr="00AA562D">
        <w:rPr>
          <w:rFonts w:eastAsia="Arial Unicode MS"/>
          <w:sz w:val="28"/>
          <w:szCs w:val="28"/>
        </w:rPr>
        <w:t>й</w:t>
      </w:r>
      <w:r w:rsidRPr="00AA562D">
        <w:rPr>
          <w:rFonts w:eastAsia="Arial Unicode MS"/>
          <w:sz w:val="28"/>
          <w:szCs w:val="28"/>
        </w:rPr>
        <w:t xml:space="preserve"> период была бы ниже фактической, а значит, даже в период мирового финансового кризиса и резкого падения цены на нефть, происходило бы не </w:t>
      </w:r>
      <w:r w:rsidR="00534D0F" w:rsidRPr="00AA562D">
        <w:rPr>
          <w:rFonts w:eastAsia="Arial Unicode MS"/>
          <w:sz w:val="28"/>
          <w:szCs w:val="28"/>
        </w:rPr>
        <w:t>сокращение поступления</w:t>
      </w:r>
      <w:r w:rsidRPr="00AA562D">
        <w:rPr>
          <w:rFonts w:eastAsia="Arial Unicode MS"/>
          <w:sz w:val="28"/>
          <w:szCs w:val="28"/>
        </w:rPr>
        <w:t xml:space="preserve"> доходов бюджета</w:t>
      </w:r>
      <w:r w:rsidR="00534D0F" w:rsidRPr="00AA562D">
        <w:rPr>
          <w:rFonts w:eastAsia="Arial Unicode MS"/>
          <w:sz w:val="28"/>
          <w:szCs w:val="28"/>
        </w:rPr>
        <w:t xml:space="preserve"> по отношению к прогнозному уровню</w:t>
      </w:r>
      <w:r w:rsidRPr="00AA562D">
        <w:rPr>
          <w:rFonts w:eastAsia="Arial Unicode MS"/>
          <w:sz w:val="28"/>
          <w:szCs w:val="28"/>
        </w:rPr>
        <w:t>, а наоборот, накопление дополнитель</w:t>
      </w:r>
      <w:r w:rsidR="003E504A">
        <w:rPr>
          <w:rFonts w:eastAsia="Arial Unicode MS"/>
          <w:sz w:val="28"/>
          <w:szCs w:val="28"/>
        </w:rPr>
        <w:t>ных нефтегазовых доходов (Рис. 8</w:t>
      </w:r>
      <w:r w:rsidRPr="00AA562D">
        <w:rPr>
          <w:rFonts w:eastAsia="Arial Unicode MS"/>
          <w:sz w:val="28"/>
          <w:szCs w:val="28"/>
        </w:rPr>
        <w:t xml:space="preserve">). Иными словами, если бы в начале 2000-х гг. бюджетная политика в нашей стране проводилась в рамках жестких бюджетных ограничений, то сбалансированность бюджетной системы была бы достигнута даже в </w:t>
      </w:r>
      <w:r w:rsidRPr="00AA562D">
        <w:rPr>
          <w:rFonts w:eastAsia="Arial Unicode MS"/>
          <w:sz w:val="28"/>
          <w:szCs w:val="28"/>
        </w:rPr>
        <w:lastRenderedPageBreak/>
        <w:t>периоды крайне неблагоприятной внешнеэконо</w:t>
      </w:r>
      <w:r w:rsidR="00860559" w:rsidRPr="00AA562D">
        <w:rPr>
          <w:rFonts w:eastAsia="Arial Unicode MS"/>
          <w:sz w:val="28"/>
          <w:szCs w:val="28"/>
        </w:rPr>
        <w:t>мической конъюнктуры, и сегодня сбалансированность бюджета достигалась бы при цене на нефть равной порядка 70 долл. США за баррель, а не 115 долл. США за баррель, как это было в 2012 году.</w:t>
      </w:r>
    </w:p>
    <w:p w:rsidR="008A7369" w:rsidRPr="00985D29" w:rsidRDefault="008A7369" w:rsidP="008A7369">
      <w:pPr>
        <w:spacing w:after="0" w:line="240" w:lineRule="auto"/>
        <w:ind w:firstLine="709"/>
        <w:jc w:val="center"/>
        <w:rPr>
          <w:rFonts w:eastAsia="Arial Unicode MS"/>
          <w:b/>
          <w:bCs/>
          <w:sz w:val="26"/>
          <w:szCs w:val="26"/>
        </w:rPr>
      </w:pPr>
      <w:r w:rsidRPr="00985D29">
        <w:rPr>
          <w:rFonts w:eastAsia="Arial Unicode MS"/>
          <w:b/>
          <w:bCs/>
          <w:sz w:val="26"/>
          <w:szCs w:val="26"/>
        </w:rPr>
        <w:t xml:space="preserve">Цена на нефть при применении бюджетных правил </w:t>
      </w:r>
    </w:p>
    <w:p w:rsidR="008A7369" w:rsidRPr="00985D29" w:rsidRDefault="008A7369" w:rsidP="008A7369">
      <w:pPr>
        <w:spacing w:after="0" w:line="240" w:lineRule="auto"/>
        <w:ind w:firstLine="709"/>
        <w:jc w:val="center"/>
        <w:rPr>
          <w:rFonts w:eastAsia="Arial Unicode MS"/>
          <w:sz w:val="26"/>
          <w:szCs w:val="26"/>
        </w:rPr>
      </w:pPr>
      <w:r w:rsidRPr="00985D29">
        <w:rPr>
          <w:rFonts w:eastAsia="Arial Unicode MS"/>
          <w:b/>
          <w:bCs/>
          <w:sz w:val="26"/>
          <w:szCs w:val="26"/>
        </w:rPr>
        <w:t>(долл. США/барр.)</w:t>
      </w:r>
    </w:p>
    <w:p w:rsidR="003E504A" w:rsidRDefault="008A7369" w:rsidP="003E504A">
      <w:pPr>
        <w:spacing w:after="0" w:line="240" w:lineRule="auto"/>
        <w:jc w:val="both"/>
        <w:rPr>
          <w:rFonts w:eastAsia="Arial Unicode MS"/>
          <w:sz w:val="26"/>
          <w:szCs w:val="26"/>
        </w:rPr>
      </w:pPr>
      <w:r w:rsidRPr="00985D29">
        <w:rPr>
          <w:rFonts w:eastAsia="Arial Unicode MS"/>
          <w:noProof/>
          <w:sz w:val="26"/>
          <w:szCs w:val="26"/>
          <w:lang w:eastAsia="ru-RU"/>
        </w:rPr>
        <w:drawing>
          <wp:inline distT="0" distB="0" distL="0" distR="0">
            <wp:extent cx="5762625" cy="498157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D6D42" w:rsidRPr="003E504A" w:rsidRDefault="003E504A" w:rsidP="00AD6D42">
      <w:pPr>
        <w:spacing w:after="0" w:line="240" w:lineRule="auto"/>
        <w:ind w:firstLine="851"/>
        <w:jc w:val="center"/>
        <w:rPr>
          <w:rFonts w:eastAsia="Arial Unicode MS"/>
          <w:sz w:val="28"/>
          <w:szCs w:val="28"/>
        </w:rPr>
      </w:pPr>
      <w:r>
        <w:rPr>
          <w:rFonts w:eastAsia="Arial Unicode MS"/>
          <w:sz w:val="28"/>
          <w:szCs w:val="28"/>
        </w:rPr>
        <w:t>Рис. 8</w:t>
      </w:r>
    </w:p>
    <w:p w:rsidR="00AD6D42" w:rsidRDefault="00AD6D42" w:rsidP="008A7369">
      <w:pPr>
        <w:spacing w:after="0" w:line="360" w:lineRule="auto"/>
        <w:ind w:firstLine="851"/>
        <w:jc w:val="both"/>
        <w:rPr>
          <w:rFonts w:eastAsia="Arial Unicode MS"/>
          <w:sz w:val="26"/>
          <w:szCs w:val="26"/>
        </w:rPr>
      </w:pPr>
    </w:p>
    <w:p w:rsidR="00AA562D" w:rsidRPr="00AA562D" w:rsidRDefault="00AA562D" w:rsidP="00AA562D">
      <w:pPr>
        <w:spacing w:after="0" w:line="360" w:lineRule="auto"/>
        <w:ind w:firstLine="851"/>
        <w:jc w:val="both"/>
        <w:rPr>
          <w:rFonts w:eastAsia="Arial Unicode MS"/>
          <w:sz w:val="28"/>
          <w:szCs w:val="28"/>
        </w:rPr>
      </w:pPr>
      <w:r w:rsidRPr="00AA562D">
        <w:rPr>
          <w:rFonts w:eastAsia="Arial Unicode MS"/>
          <w:sz w:val="28"/>
          <w:szCs w:val="28"/>
        </w:rPr>
        <w:t xml:space="preserve">Кроме того, как видно из представленной диаграммы, базовая цена была практически вдвое ниже фактической в периоды существенного роста цен на нефть в 2005-2008 гг. и в 2010-2011 гг., а значит, в эти годы накопление средств в Стабилизационном (Резервном) фонде проходило бы ускоренными темпами, и полученные дополнительные нефтегазовые доходы могли бы быть направлены на финансирование инфраструктурных </w:t>
      </w:r>
      <w:r w:rsidRPr="00AA562D">
        <w:rPr>
          <w:rFonts w:eastAsia="Arial Unicode MS"/>
          <w:sz w:val="28"/>
          <w:szCs w:val="28"/>
        </w:rPr>
        <w:lastRenderedPageBreak/>
        <w:t>или иных инвестиционных проектов с целью модернизации различных секторов и диверсификации экономики России в рамках политики по снижению зависимости от сырьевого сектора.</w:t>
      </w:r>
    </w:p>
    <w:p w:rsidR="008A7369" w:rsidRPr="00AA562D" w:rsidRDefault="008A7369" w:rsidP="008A7369">
      <w:pPr>
        <w:spacing w:after="0" w:line="360" w:lineRule="auto"/>
        <w:ind w:firstLine="851"/>
        <w:jc w:val="both"/>
        <w:rPr>
          <w:rFonts w:eastAsia="Arial Unicode MS"/>
          <w:sz w:val="28"/>
          <w:szCs w:val="28"/>
        </w:rPr>
      </w:pPr>
      <w:r w:rsidRPr="00AA562D">
        <w:rPr>
          <w:rFonts w:eastAsia="Arial Unicode MS"/>
          <w:sz w:val="28"/>
          <w:szCs w:val="28"/>
        </w:rPr>
        <w:t xml:space="preserve">Все вышесказанное свидетельствует о том, что </w:t>
      </w:r>
      <w:r w:rsidR="004057F5" w:rsidRPr="00AA562D">
        <w:rPr>
          <w:rFonts w:eastAsia="Arial Unicode MS"/>
          <w:sz w:val="28"/>
          <w:szCs w:val="28"/>
        </w:rPr>
        <w:t>задач</w:t>
      </w:r>
      <w:r w:rsidR="004057F5">
        <w:rPr>
          <w:rFonts w:eastAsia="Arial Unicode MS"/>
          <w:sz w:val="28"/>
          <w:szCs w:val="28"/>
        </w:rPr>
        <w:t>а</w:t>
      </w:r>
      <w:r w:rsidR="004057F5" w:rsidRPr="00AA562D">
        <w:rPr>
          <w:rFonts w:eastAsia="Arial Unicode MS"/>
          <w:sz w:val="28"/>
          <w:szCs w:val="28"/>
        </w:rPr>
        <w:t xml:space="preserve"> по обеспечению долгосрочной сбалансированности бюджета</w:t>
      </w:r>
      <w:r w:rsidR="004057F5">
        <w:rPr>
          <w:rFonts w:eastAsia="Arial Unicode MS"/>
          <w:sz w:val="28"/>
          <w:szCs w:val="28"/>
        </w:rPr>
        <w:t xml:space="preserve"> может быть решена путем</w:t>
      </w:r>
      <w:r w:rsidR="004057F5" w:rsidRPr="00AA562D">
        <w:rPr>
          <w:rFonts w:eastAsia="Arial Unicode MS"/>
          <w:sz w:val="28"/>
          <w:szCs w:val="28"/>
        </w:rPr>
        <w:t xml:space="preserve"> </w:t>
      </w:r>
      <w:r w:rsidRPr="00AA562D">
        <w:rPr>
          <w:rFonts w:eastAsia="Arial Unicode MS"/>
          <w:sz w:val="28"/>
          <w:szCs w:val="28"/>
        </w:rPr>
        <w:t>использование для расчета нефтегазовых доходов бюджета базовой цены на нефть, рассчитанной как скользящая ср</w:t>
      </w:r>
      <w:r w:rsidR="004057F5">
        <w:rPr>
          <w:rFonts w:eastAsia="Arial Unicode MS"/>
          <w:sz w:val="28"/>
          <w:szCs w:val="28"/>
        </w:rPr>
        <w:t>едняя за ряд предшествующих лет</w:t>
      </w:r>
      <w:r w:rsidRPr="00AA562D">
        <w:rPr>
          <w:rFonts w:eastAsia="Arial Unicode MS"/>
          <w:sz w:val="28"/>
          <w:szCs w:val="28"/>
        </w:rPr>
        <w:t xml:space="preserve">. </w:t>
      </w:r>
    </w:p>
    <w:p w:rsidR="008A7369" w:rsidRPr="00AA562D" w:rsidRDefault="008A7369" w:rsidP="008A7369">
      <w:pPr>
        <w:spacing w:after="0" w:line="360" w:lineRule="auto"/>
        <w:ind w:firstLine="851"/>
        <w:jc w:val="both"/>
        <w:rPr>
          <w:rFonts w:eastAsia="Arial Unicode MS"/>
          <w:sz w:val="28"/>
          <w:szCs w:val="28"/>
        </w:rPr>
      </w:pPr>
      <w:r w:rsidRPr="00AA562D">
        <w:rPr>
          <w:rFonts w:eastAsia="Arial Unicode MS"/>
          <w:sz w:val="28"/>
          <w:szCs w:val="28"/>
        </w:rPr>
        <w:t>Кроме того, говоря о целесообразности введения новых бюджетных правил, стоит отметить, что, так как их введение позволило создать методологическую базу для определения предельных объемов бюджетных расходов и допустимого дефицита, а также для разграничения финансовых ресурсов на стабильные и конъюнктурные, то сейчас есть возможность не только избежать неоправданного и не обеспеченного доходами наращивания расходных обязательств, но и, напротив, гарантировать необходимый уровень ресурсов для исполнения уже принятых решений.</w:t>
      </w:r>
    </w:p>
    <w:p w:rsidR="008A7369" w:rsidRPr="00AA562D" w:rsidRDefault="008A7369" w:rsidP="008A7369">
      <w:pPr>
        <w:spacing w:after="0" w:line="360" w:lineRule="auto"/>
        <w:ind w:firstLine="851"/>
        <w:jc w:val="both"/>
        <w:rPr>
          <w:sz w:val="28"/>
          <w:szCs w:val="28"/>
        </w:rPr>
      </w:pPr>
      <w:r w:rsidRPr="00AA562D">
        <w:rPr>
          <w:rFonts w:eastAsia="Arial Unicode MS"/>
          <w:sz w:val="28"/>
          <w:szCs w:val="28"/>
        </w:rPr>
        <w:t xml:space="preserve">В целом, </w:t>
      </w:r>
      <w:r w:rsidRPr="00AA562D">
        <w:rPr>
          <w:sz w:val="28"/>
          <w:szCs w:val="28"/>
        </w:rPr>
        <w:t xml:space="preserve"> введение бюджетных правил позволит в 2013–2015 годах снизить зависимость федерального бюджета от внешнеэкономической конъюнктуры, повысить устойчивость и сбалансированность бюджетной системы, сократить дефицит федерального бюджета, в том числе ненефтегазовый. Ожидается, что федеральный бюджет в 2015 г. будет бездефицитным (см. </w:t>
      </w:r>
      <w:r w:rsidR="002F0397" w:rsidRPr="00AA562D">
        <w:rPr>
          <w:iCs/>
          <w:sz w:val="28"/>
          <w:szCs w:val="28"/>
        </w:rPr>
        <w:t>Таб.</w:t>
      </w:r>
      <w:r w:rsidR="0051540B" w:rsidRPr="00CF4388">
        <w:rPr>
          <w:iCs/>
          <w:sz w:val="28"/>
          <w:szCs w:val="28"/>
        </w:rPr>
        <w:t>7</w:t>
      </w:r>
      <w:r w:rsidRPr="00AA562D">
        <w:rPr>
          <w:sz w:val="28"/>
          <w:szCs w:val="28"/>
        </w:rPr>
        <w:t>).</w:t>
      </w:r>
    </w:p>
    <w:p w:rsidR="009743D6" w:rsidRPr="00CF4388" w:rsidRDefault="00C811EB" w:rsidP="009743D6">
      <w:pPr>
        <w:spacing w:after="0" w:line="360" w:lineRule="auto"/>
        <w:ind w:firstLine="851"/>
        <w:jc w:val="right"/>
        <w:rPr>
          <w:i/>
          <w:sz w:val="26"/>
          <w:szCs w:val="26"/>
        </w:rPr>
      </w:pPr>
      <w:r w:rsidRPr="00985D29">
        <w:rPr>
          <w:i/>
          <w:sz w:val="26"/>
          <w:szCs w:val="26"/>
        </w:rPr>
        <w:t xml:space="preserve">Таблица </w:t>
      </w:r>
      <w:r w:rsidR="0051540B" w:rsidRPr="00CF4388">
        <w:rPr>
          <w:i/>
          <w:sz w:val="26"/>
          <w:szCs w:val="26"/>
        </w:rPr>
        <w:t>7</w:t>
      </w:r>
    </w:p>
    <w:p w:rsidR="00282F16" w:rsidRDefault="009743D6" w:rsidP="00282F16">
      <w:pPr>
        <w:spacing w:after="0" w:line="240" w:lineRule="auto"/>
        <w:jc w:val="center"/>
        <w:rPr>
          <w:b/>
          <w:sz w:val="26"/>
          <w:szCs w:val="26"/>
        </w:rPr>
      </w:pPr>
      <w:r w:rsidRPr="00985D29">
        <w:rPr>
          <w:b/>
          <w:sz w:val="26"/>
          <w:szCs w:val="26"/>
        </w:rPr>
        <w:t xml:space="preserve">Основные характеристики федерального бюджета в 2010-2015 годах, </w:t>
      </w:r>
    </w:p>
    <w:p w:rsidR="00E64815" w:rsidRPr="00985D29" w:rsidRDefault="009743D6" w:rsidP="00282F16">
      <w:pPr>
        <w:spacing w:after="0" w:line="240" w:lineRule="auto"/>
        <w:jc w:val="center"/>
        <w:rPr>
          <w:b/>
          <w:sz w:val="26"/>
          <w:szCs w:val="26"/>
        </w:rPr>
      </w:pPr>
      <w:r w:rsidRPr="00985D29">
        <w:rPr>
          <w:b/>
          <w:sz w:val="26"/>
          <w:szCs w:val="26"/>
        </w:rPr>
        <w:t>в % ВВП</w:t>
      </w:r>
    </w:p>
    <w:tbl>
      <w:tblPr>
        <w:tblStyle w:val="1-12"/>
        <w:tblW w:w="5000" w:type="pct"/>
        <w:tblCellMar>
          <w:left w:w="0" w:type="dxa"/>
          <w:right w:w="57" w:type="dxa"/>
        </w:tblCellMar>
        <w:tblLook w:val="04A0"/>
      </w:tblPr>
      <w:tblGrid>
        <w:gridCol w:w="3087"/>
        <w:gridCol w:w="1008"/>
        <w:gridCol w:w="1007"/>
        <w:gridCol w:w="895"/>
        <w:gridCol w:w="113"/>
        <w:gridCol w:w="1009"/>
        <w:gridCol w:w="1009"/>
        <w:gridCol w:w="1009"/>
      </w:tblGrid>
      <w:tr w:rsidR="005D56CB" w:rsidRPr="002F0397" w:rsidTr="005D56CB">
        <w:trPr>
          <w:cnfStyle w:val="100000000000"/>
        </w:trPr>
        <w:tc>
          <w:tcPr>
            <w:cnfStyle w:val="001000000000"/>
            <w:tcW w:w="1689" w:type="pct"/>
            <w:vMerge w:val="restart"/>
            <w:tcBorders>
              <w:right w:val="single" w:sz="4" w:space="0" w:color="FFFFFF" w:themeColor="background1"/>
            </w:tcBorders>
            <w:shd w:val="clear" w:color="auto" w:fill="548DD4" w:themeFill="text2" w:themeFillTint="99"/>
            <w:vAlign w:val="center"/>
          </w:tcPr>
          <w:p w:rsidR="005D56CB" w:rsidRPr="002F0397" w:rsidRDefault="005D56CB" w:rsidP="00E64815">
            <w:pPr>
              <w:spacing w:line="360" w:lineRule="auto"/>
              <w:jc w:val="center"/>
              <w:rPr>
                <w:sz w:val="22"/>
                <w:szCs w:val="22"/>
              </w:rPr>
            </w:pPr>
            <w:r w:rsidRPr="002F0397">
              <w:rPr>
                <w:sz w:val="22"/>
                <w:szCs w:val="22"/>
              </w:rPr>
              <w:t>Показатель</w:t>
            </w:r>
          </w:p>
        </w:tc>
        <w:tc>
          <w:tcPr>
            <w:tcW w:w="1592" w:type="pct"/>
            <w:gridSpan w:val="3"/>
            <w:tcBorders>
              <w:left w:val="single" w:sz="4" w:space="0" w:color="FFFFFF" w:themeColor="background1"/>
              <w:bottom w:val="single" w:sz="4" w:space="0" w:color="FFFFFF" w:themeColor="background1"/>
            </w:tcBorders>
            <w:shd w:val="clear" w:color="auto" w:fill="548DD4" w:themeFill="text2" w:themeFillTint="99"/>
            <w:vAlign w:val="center"/>
          </w:tcPr>
          <w:p w:rsidR="005D56CB" w:rsidRPr="002F0397" w:rsidRDefault="005D56CB" w:rsidP="005D56CB">
            <w:pPr>
              <w:spacing w:line="360" w:lineRule="auto"/>
              <w:jc w:val="center"/>
              <w:cnfStyle w:val="100000000000"/>
              <w:rPr>
                <w:sz w:val="22"/>
                <w:szCs w:val="22"/>
              </w:rPr>
            </w:pPr>
            <w:r w:rsidRPr="002F0397">
              <w:rPr>
                <w:sz w:val="22"/>
                <w:szCs w:val="22"/>
              </w:rPr>
              <w:t>Факт</w:t>
            </w:r>
          </w:p>
        </w:tc>
        <w:tc>
          <w:tcPr>
            <w:tcW w:w="62" w:type="pct"/>
            <w:tcBorders>
              <w:left w:val="single" w:sz="4" w:space="0" w:color="FFFFFF" w:themeColor="background1"/>
              <w:bottom w:val="single" w:sz="4" w:space="0" w:color="FFFFFF" w:themeColor="background1"/>
            </w:tcBorders>
            <w:shd w:val="clear" w:color="auto" w:fill="548DD4" w:themeFill="text2" w:themeFillTint="99"/>
            <w:vAlign w:val="center"/>
          </w:tcPr>
          <w:p w:rsidR="005D56CB" w:rsidRPr="002F0397" w:rsidRDefault="005D56CB" w:rsidP="005D56CB">
            <w:pPr>
              <w:spacing w:line="360" w:lineRule="auto"/>
              <w:jc w:val="center"/>
              <w:cnfStyle w:val="100000000000"/>
              <w:rPr>
                <w:b w:val="0"/>
                <w:bCs w:val="0"/>
                <w:sz w:val="22"/>
                <w:szCs w:val="22"/>
              </w:rPr>
            </w:pPr>
          </w:p>
        </w:tc>
        <w:tc>
          <w:tcPr>
            <w:tcW w:w="1656" w:type="pct"/>
            <w:gridSpan w:val="3"/>
            <w:tcBorders>
              <w:bottom w:val="single" w:sz="4" w:space="0" w:color="FFFFFF" w:themeColor="background1"/>
            </w:tcBorders>
            <w:shd w:val="clear" w:color="auto" w:fill="548DD4" w:themeFill="text2" w:themeFillTint="99"/>
            <w:vAlign w:val="center"/>
          </w:tcPr>
          <w:p w:rsidR="005D56CB" w:rsidRPr="002F0397" w:rsidRDefault="005D56CB" w:rsidP="005D56CB">
            <w:pPr>
              <w:spacing w:line="360" w:lineRule="auto"/>
              <w:ind w:left="34" w:right="33" w:firstLine="3"/>
              <w:jc w:val="center"/>
              <w:cnfStyle w:val="100000000000"/>
              <w:rPr>
                <w:sz w:val="22"/>
                <w:szCs w:val="22"/>
              </w:rPr>
            </w:pPr>
            <w:r w:rsidRPr="002F0397">
              <w:rPr>
                <w:sz w:val="22"/>
                <w:szCs w:val="22"/>
              </w:rPr>
              <w:t>ФЗ-216</w:t>
            </w:r>
          </w:p>
        </w:tc>
      </w:tr>
      <w:tr w:rsidR="005D56CB" w:rsidRPr="002F0397" w:rsidTr="005D56CB">
        <w:trPr>
          <w:cnfStyle w:val="000000100000"/>
        </w:trPr>
        <w:tc>
          <w:tcPr>
            <w:cnfStyle w:val="001000000000"/>
            <w:tcW w:w="1689" w:type="pct"/>
            <w:vMerge/>
            <w:tcBorders>
              <w:right w:val="single" w:sz="4" w:space="0" w:color="FFFFFF" w:themeColor="background1"/>
            </w:tcBorders>
            <w:shd w:val="clear" w:color="auto" w:fill="548DD4" w:themeFill="text2" w:themeFillTint="99"/>
            <w:vAlign w:val="center"/>
          </w:tcPr>
          <w:p w:rsidR="005D56CB" w:rsidRPr="002F0397" w:rsidRDefault="005D56CB" w:rsidP="009743D6">
            <w:pPr>
              <w:spacing w:line="360" w:lineRule="auto"/>
              <w:rPr>
                <w:color w:val="FFFFFF" w:themeColor="background1"/>
                <w:sz w:val="22"/>
                <w:szCs w:val="22"/>
              </w:rPr>
            </w:pPr>
          </w:p>
        </w:tc>
        <w:tc>
          <w:tcPr>
            <w:tcW w:w="551" w:type="pct"/>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vAlign w:val="center"/>
          </w:tcPr>
          <w:p w:rsidR="005D56CB" w:rsidRPr="002F0397" w:rsidRDefault="005D56CB" w:rsidP="005D56CB">
            <w:pPr>
              <w:spacing w:line="360" w:lineRule="auto"/>
              <w:jc w:val="center"/>
              <w:cnfStyle w:val="000000100000"/>
              <w:rPr>
                <w:b/>
                <w:color w:val="FFFFFF" w:themeColor="background1"/>
                <w:sz w:val="22"/>
                <w:szCs w:val="22"/>
              </w:rPr>
            </w:pPr>
            <w:r w:rsidRPr="002F0397">
              <w:rPr>
                <w:b/>
                <w:color w:val="FFFFFF" w:themeColor="background1"/>
                <w:sz w:val="22"/>
                <w:szCs w:val="22"/>
              </w:rPr>
              <w:t>2010</w:t>
            </w:r>
          </w:p>
        </w:tc>
        <w:tc>
          <w:tcPr>
            <w:tcW w:w="551" w:type="pct"/>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vAlign w:val="center"/>
          </w:tcPr>
          <w:p w:rsidR="005D56CB" w:rsidRPr="002F0397" w:rsidRDefault="005D56CB" w:rsidP="005D56CB">
            <w:pPr>
              <w:spacing w:line="360" w:lineRule="auto"/>
              <w:jc w:val="center"/>
              <w:cnfStyle w:val="000000100000"/>
              <w:rPr>
                <w:b/>
                <w:color w:val="FFFFFF" w:themeColor="background1"/>
                <w:sz w:val="22"/>
                <w:szCs w:val="22"/>
              </w:rPr>
            </w:pPr>
            <w:r w:rsidRPr="002F0397">
              <w:rPr>
                <w:b/>
                <w:color w:val="FFFFFF" w:themeColor="background1"/>
                <w:sz w:val="22"/>
                <w:szCs w:val="22"/>
              </w:rPr>
              <w:t>2011</w:t>
            </w:r>
          </w:p>
        </w:tc>
        <w:tc>
          <w:tcPr>
            <w:tcW w:w="490" w:type="pct"/>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vAlign w:val="center"/>
          </w:tcPr>
          <w:p w:rsidR="005D56CB" w:rsidRPr="002F0397" w:rsidRDefault="005D56CB" w:rsidP="005D56CB">
            <w:pPr>
              <w:spacing w:line="360" w:lineRule="auto"/>
              <w:jc w:val="center"/>
              <w:cnfStyle w:val="000000100000"/>
              <w:rPr>
                <w:b/>
                <w:color w:val="FFFFFF" w:themeColor="background1"/>
                <w:sz w:val="22"/>
                <w:szCs w:val="22"/>
              </w:rPr>
            </w:pPr>
            <w:r w:rsidRPr="002F0397">
              <w:rPr>
                <w:b/>
                <w:color w:val="FFFFFF" w:themeColor="background1"/>
                <w:sz w:val="22"/>
                <w:szCs w:val="22"/>
              </w:rPr>
              <w:t>2012</w:t>
            </w:r>
          </w:p>
        </w:tc>
        <w:tc>
          <w:tcPr>
            <w:tcW w:w="62" w:type="pct"/>
            <w:tcBorders>
              <w:top w:val="single" w:sz="4" w:space="0" w:color="FFFFFF" w:themeColor="background1"/>
              <w:left w:val="single" w:sz="4" w:space="0" w:color="FFFFFF" w:themeColor="background1"/>
            </w:tcBorders>
            <w:shd w:val="clear" w:color="auto" w:fill="548DD4" w:themeFill="text2" w:themeFillTint="99"/>
            <w:vAlign w:val="center"/>
          </w:tcPr>
          <w:p w:rsidR="005D56CB" w:rsidRPr="002F0397" w:rsidRDefault="005D56CB" w:rsidP="005D56CB">
            <w:pPr>
              <w:spacing w:line="360" w:lineRule="auto"/>
              <w:jc w:val="center"/>
              <w:cnfStyle w:val="000000100000"/>
              <w:rPr>
                <w:b/>
                <w:color w:val="FFFFFF" w:themeColor="background1"/>
                <w:sz w:val="22"/>
                <w:szCs w:val="22"/>
              </w:rPr>
            </w:pPr>
          </w:p>
        </w:tc>
        <w:tc>
          <w:tcPr>
            <w:tcW w:w="552" w:type="pct"/>
            <w:tcBorders>
              <w:top w:val="single" w:sz="4" w:space="0" w:color="FFFFFF" w:themeColor="background1"/>
              <w:right w:val="single" w:sz="4" w:space="0" w:color="FFFFFF" w:themeColor="background1"/>
            </w:tcBorders>
            <w:shd w:val="clear" w:color="auto" w:fill="548DD4" w:themeFill="text2" w:themeFillTint="99"/>
            <w:vAlign w:val="center"/>
          </w:tcPr>
          <w:p w:rsidR="005D56CB" w:rsidRPr="002F0397" w:rsidRDefault="005D56CB" w:rsidP="005D56CB">
            <w:pPr>
              <w:spacing w:line="360" w:lineRule="auto"/>
              <w:jc w:val="center"/>
              <w:cnfStyle w:val="000000100000"/>
              <w:rPr>
                <w:b/>
                <w:color w:val="FFFFFF" w:themeColor="background1"/>
                <w:sz w:val="22"/>
                <w:szCs w:val="22"/>
              </w:rPr>
            </w:pPr>
            <w:r w:rsidRPr="002F0397">
              <w:rPr>
                <w:b/>
                <w:color w:val="FFFFFF" w:themeColor="background1"/>
                <w:sz w:val="22"/>
                <w:szCs w:val="22"/>
              </w:rPr>
              <w:t>2013</w:t>
            </w:r>
          </w:p>
        </w:tc>
        <w:tc>
          <w:tcPr>
            <w:tcW w:w="552" w:type="pct"/>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vAlign w:val="center"/>
          </w:tcPr>
          <w:p w:rsidR="005D56CB" w:rsidRPr="002F0397" w:rsidRDefault="005D56CB" w:rsidP="005D56CB">
            <w:pPr>
              <w:spacing w:line="360" w:lineRule="auto"/>
              <w:jc w:val="center"/>
              <w:cnfStyle w:val="000000100000"/>
              <w:rPr>
                <w:b/>
                <w:color w:val="FFFFFF" w:themeColor="background1"/>
                <w:sz w:val="22"/>
                <w:szCs w:val="22"/>
              </w:rPr>
            </w:pPr>
            <w:r w:rsidRPr="002F0397">
              <w:rPr>
                <w:b/>
                <w:color w:val="FFFFFF" w:themeColor="background1"/>
                <w:sz w:val="22"/>
                <w:szCs w:val="22"/>
              </w:rPr>
              <w:t>2014</w:t>
            </w:r>
          </w:p>
        </w:tc>
        <w:tc>
          <w:tcPr>
            <w:tcW w:w="552" w:type="pct"/>
            <w:tcBorders>
              <w:top w:val="single" w:sz="4" w:space="0" w:color="FFFFFF" w:themeColor="background1"/>
              <w:left w:val="single" w:sz="4" w:space="0" w:color="FFFFFF" w:themeColor="background1"/>
            </w:tcBorders>
            <w:shd w:val="clear" w:color="auto" w:fill="548DD4" w:themeFill="text2" w:themeFillTint="99"/>
            <w:vAlign w:val="center"/>
          </w:tcPr>
          <w:p w:rsidR="005D56CB" w:rsidRPr="002F0397" w:rsidRDefault="005D56CB" w:rsidP="005D56CB">
            <w:pPr>
              <w:spacing w:line="360" w:lineRule="auto"/>
              <w:ind w:left="34" w:right="33" w:firstLine="3"/>
              <w:jc w:val="center"/>
              <w:cnfStyle w:val="000000100000"/>
              <w:rPr>
                <w:b/>
                <w:color w:val="FFFFFF" w:themeColor="background1"/>
                <w:sz w:val="22"/>
                <w:szCs w:val="22"/>
              </w:rPr>
            </w:pPr>
            <w:r w:rsidRPr="002F0397">
              <w:rPr>
                <w:b/>
                <w:color w:val="FFFFFF" w:themeColor="background1"/>
                <w:sz w:val="22"/>
                <w:szCs w:val="22"/>
              </w:rPr>
              <w:t>2015</w:t>
            </w:r>
          </w:p>
        </w:tc>
      </w:tr>
      <w:tr w:rsidR="00E64815" w:rsidRPr="002F0397" w:rsidTr="005D56CB">
        <w:trPr>
          <w:cnfStyle w:val="000000010000"/>
        </w:trPr>
        <w:tc>
          <w:tcPr>
            <w:cnfStyle w:val="001000000000"/>
            <w:tcW w:w="1689" w:type="pct"/>
            <w:vAlign w:val="center"/>
          </w:tcPr>
          <w:p w:rsidR="00E64815" w:rsidRPr="002F0397" w:rsidRDefault="00E64815" w:rsidP="009743D6">
            <w:pPr>
              <w:rPr>
                <w:sz w:val="22"/>
                <w:szCs w:val="22"/>
              </w:rPr>
            </w:pPr>
            <w:r w:rsidRPr="002F0397">
              <w:rPr>
                <w:sz w:val="22"/>
                <w:szCs w:val="22"/>
              </w:rPr>
              <w:t>Доходы</w:t>
            </w:r>
          </w:p>
        </w:tc>
        <w:tc>
          <w:tcPr>
            <w:tcW w:w="551" w:type="pct"/>
            <w:vAlign w:val="center"/>
          </w:tcPr>
          <w:p w:rsidR="00E64815" w:rsidRPr="002F0397" w:rsidRDefault="00E64815" w:rsidP="005D56CB">
            <w:pPr>
              <w:spacing w:line="360" w:lineRule="auto"/>
              <w:jc w:val="center"/>
              <w:cnfStyle w:val="000000010000"/>
              <w:rPr>
                <w:sz w:val="22"/>
                <w:szCs w:val="22"/>
              </w:rPr>
            </w:pPr>
            <w:r w:rsidRPr="002F0397">
              <w:rPr>
                <w:sz w:val="22"/>
                <w:szCs w:val="22"/>
              </w:rPr>
              <w:t>18,4</w:t>
            </w:r>
          </w:p>
        </w:tc>
        <w:tc>
          <w:tcPr>
            <w:tcW w:w="551" w:type="pct"/>
            <w:vAlign w:val="center"/>
          </w:tcPr>
          <w:p w:rsidR="00E64815" w:rsidRPr="002F0397" w:rsidRDefault="00E64815" w:rsidP="005D56CB">
            <w:pPr>
              <w:spacing w:line="360" w:lineRule="auto"/>
              <w:jc w:val="center"/>
              <w:cnfStyle w:val="000000010000"/>
              <w:rPr>
                <w:sz w:val="22"/>
                <w:szCs w:val="22"/>
              </w:rPr>
            </w:pPr>
            <w:r w:rsidRPr="002F0397">
              <w:rPr>
                <w:sz w:val="22"/>
                <w:szCs w:val="22"/>
              </w:rPr>
              <w:t>20,9</w:t>
            </w:r>
          </w:p>
        </w:tc>
        <w:tc>
          <w:tcPr>
            <w:tcW w:w="552" w:type="pct"/>
            <w:gridSpan w:val="2"/>
            <w:vAlign w:val="center"/>
          </w:tcPr>
          <w:p w:rsidR="00E64815" w:rsidRPr="002F0397" w:rsidRDefault="00713C2D" w:rsidP="005D56CB">
            <w:pPr>
              <w:spacing w:line="360" w:lineRule="auto"/>
              <w:jc w:val="center"/>
              <w:cnfStyle w:val="000000010000"/>
              <w:rPr>
                <w:sz w:val="22"/>
                <w:szCs w:val="22"/>
              </w:rPr>
            </w:pPr>
            <w:r w:rsidRPr="002F0397">
              <w:rPr>
                <w:sz w:val="22"/>
                <w:szCs w:val="22"/>
              </w:rPr>
              <w:t>20,6</w:t>
            </w:r>
          </w:p>
        </w:tc>
        <w:tc>
          <w:tcPr>
            <w:tcW w:w="552" w:type="pct"/>
            <w:vAlign w:val="center"/>
          </w:tcPr>
          <w:p w:rsidR="00E64815" w:rsidRPr="002F0397" w:rsidRDefault="00AA5429" w:rsidP="005D56CB">
            <w:pPr>
              <w:spacing w:line="360" w:lineRule="auto"/>
              <w:jc w:val="center"/>
              <w:cnfStyle w:val="000000010000"/>
              <w:rPr>
                <w:sz w:val="22"/>
                <w:szCs w:val="22"/>
              </w:rPr>
            </w:pPr>
            <w:r w:rsidRPr="002F0397">
              <w:rPr>
                <w:sz w:val="22"/>
                <w:szCs w:val="22"/>
              </w:rPr>
              <w:t>19,3</w:t>
            </w:r>
          </w:p>
        </w:tc>
        <w:tc>
          <w:tcPr>
            <w:tcW w:w="552" w:type="pct"/>
            <w:vAlign w:val="center"/>
          </w:tcPr>
          <w:p w:rsidR="00E64815" w:rsidRPr="002F0397" w:rsidRDefault="00AA5429" w:rsidP="005D56CB">
            <w:pPr>
              <w:spacing w:line="360" w:lineRule="auto"/>
              <w:jc w:val="center"/>
              <w:cnfStyle w:val="000000010000"/>
              <w:rPr>
                <w:sz w:val="22"/>
                <w:szCs w:val="22"/>
              </w:rPr>
            </w:pPr>
            <w:r w:rsidRPr="002F0397">
              <w:rPr>
                <w:sz w:val="22"/>
                <w:szCs w:val="22"/>
              </w:rPr>
              <w:t>19,0</w:t>
            </w:r>
          </w:p>
        </w:tc>
        <w:tc>
          <w:tcPr>
            <w:tcW w:w="552" w:type="pct"/>
            <w:vAlign w:val="center"/>
          </w:tcPr>
          <w:p w:rsidR="00E64815" w:rsidRPr="002F0397" w:rsidRDefault="00AA5429" w:rsidP="005D56CB">
            <w:pPr>
              <w:spacing w:line="360" w:lineRule="auto"/>
              <w:ind w:left="34" w:right="33" w:firstLine="3"/>
              <w:jc w:val="center"/>
              <w:cnfStyle w:val="000000010000"/>
              <w:rPr>
                <w:sz w:val="22"/>
                <w:szCs w:val="22"/>
              </w:rPr>
            </w:pPr>
            <w:r w:rsidRPr="002F0397">
              <w:rPr>
                <w:sz w:val="22"/>
                <w:szCs w:val="22"/>
              </w:rPr>
              <w:t>18,8</w:t>
            </w:r>
          </w:p>
        </w:tc>
      </w:tr>
      <w:tr w:rsidR="00E64815" w:rsidRPr="002F0397" w:rsidTr="005D56CB">
        <w:trPr>
          <w:cnfStyle w:val="000000100000"/>
        </w:trPr>
        <w:tc>
          <w:tcPr>
            <w:cnfStyle w:val="001000000000"/>
            <w:tcW w:w="1689" w:type="pct"/>
            <w:vAlign w:val="center"/>
          </w:tcPr>
          <w:p w:rsidR="00E64815" w:rsidRPr="002F0397" w:rsidRDefault="00E64815" w:rsidP="00713C2D">
            <w:pPr>
              <w:rPr>
                <w:b w:val="0"/>
                <w:sz w:val="22"/>
                <w:szCs w:val="22"/>
              </w:rPr>
            </w:pPr>
            <w:r w:rsidRPr="002F0397">
              <w:rPr>
                <w:b w:val="0"/>
                <w:sz w:val="22"/>
                <w:szCs w:val="22"/>
              </w:rPr>
              <w:t>- в том числе нефтегазовые</w:t>
            </w:r>
          </w:p>
        </w:tc>
        <w:tc>
          <w:tcPr>
            <w:tcW w:w="551" w:type="pct"/>
            <w:vAlign w:val="center"/>
          </w:tcPr>
          <w:p w:rsidR="00E64815" w:rsidRPr="002F0397" w:rsidRDefault="00713C2D" w:rsidP="005D56CB">
            <w:pPr>
              <w:spacing w:line="360" w:lineRule="auto"/>
              <w:jc w:val="center"/>
              <w:cnfStyle w:val="000000100000"/>
              <w:rPr>
                <w:sz w:val="22"/>
                <w:szCs w:val="22"/>
              </w:rPr>
            </w:pPr>
            <w:r w:rsidRPr="002F0397">
              <w:rPr>
                <w:sz w:val="22"/>
                <w:szCs w:val="22"/>
              </w:rPr>
              <w:t>8,5</w:t>
            </w:r>
          </w:p>
        </w:tc>
        <w:tc>
          <w:tcPr>
            <w:tcW w:w="551" w:type="pct"/>
            <w:vAlign w:val="center"/>
          </w:tcPr>
          <w:p w:rsidR="00E64815" w:rsidRPr="002F0397" w:rsidRDefault="00713C2D" w:rsidP="005D56CB">
            <w:pPr>
              <w:spacing w:line="360" w:lineRule="auto"/>
              <w:jc w:val="center"/>
              <w:cnfStyle w:val="000000100000"/>
              <w:rPr>
                <w:sz w:val="22"/>
                <w:szCs w:val="22"/>
              </w:rPr>
            </w:pPr>
            <w:r w:rsidRPr="002F0397">
              <w:rPr>
                <w:sz w:val="22"/>
                <w:szCs w:val="22"/>
              </w:rPr>
              <w:t>10,3</w:t>
            </w:r>
          </w:p>
        </w:tc>
        <w:tc>
          <w:tcPr>
            <w:tcW w:w="552" w:type="pct"/>
            <w:gridSpan w:val="2"/>
            <w:vAlign w:val="center"/>
          </w:tcPr>
          <w:p w:rsidR="00E64815" w:rsidRPr="002F0397" w:rsidRDefault="00713C2D" w:rsidP="005D56CB">
            <w:pPr>
              <w:spacing w:line="360" w:lineRule="auto"/>
              <w:jc w:val="center"/>
              <w:cnfStyle w:val="000000100000"/>
              <w:rPr>
                <w:sz w:val="22"/>
                <w:szCs w:val="22"/>
              </w:rPr>
            </w:pPr>
            <w:r w:rsidRPr="002F0397">
              <w:rPr>
                <w:sz w:val="22"/>
                <w:szCs w:val="22"/>
              </w:rPr>
              <w:t>10</w:t>
            </w:r>
            <w:r w:rsidR="00E64815" w:rsidRPr="002F0397">
              <w:rPr>
                <w:sz w:val="22"/>
                <w:szCs w:val="22"/>
              </w:rPr>
              <w:t>,</w:t>
            </w:r>
            <w:r w:rsidRPr="002F0397">
              <w:rPr>
                <w:sz w:val="22"/>
                <w:szCs w:val="22"/>
              </w:rPr>
              <w:t>3</w:t>
            </w:r>
          </w:p>
        </w:tc>
        <w:tc>
          <w:tcPr>
            <w:tcW w:w="552" w:type="pct"/>
            <w:vAlign w:val="center"/>
          </w:tcPr>
          <w:p w:rsidR="00E64815" w:rsidRPr="002F0397" w:rsidRDefault="00AA5429" w:rsidP="005D56CB">
            <w:pPr>
              <w:spacing w:line="360" w:lineRule="auto"/>
              <w:jc w:val="center"/>
              <w:cnfStyle w:val="000000100000"/>
              <w:rPr>
                <w:sz w:val="22"/>
                <w:szCs w:val="22"/>
              </w:rPr>
            </w:pPr>
            <w:r w:rsidRPr="002F0397">
              <w:rPr>
                <w:sz w:val="22"/>
                <w:szCs w:val="22"/>
              </w:rPr>
              <w:t>8,9</w:t>
            </w:r>
          </w:p>
        </w:tc>
        <w:tc>
          <w:tcPr>
            <w:tcW w:w="552" w:type="pct"/>
            <w:vAlign w:val="center"/>
          </w:tcPr>
          <w:p w:rsidR="00E64815" w:rsidRPr="002F0397" w:rsidRDefault="00AA5429" w:rsidP="005D56CB">
            <w:pPr>
              <w:spacing w:line="360" w:lineRule="auto"/>
              <w:jc w:val="center"/>
              <w:cnfStyle w:val="000000100000"/>
              <w:rPr>
                <w:sz w:val="22"/>
                <w:szCs w:val="22"/>
              </w:rPr>
            </w:pPr>
            <w:r w:rsidRPr="002F0397">
              <w:rPr>
                <w:sz w:val="22"/>
                <w:szCs w:val="22"/>
              </w:rPr>
              <w:t>8,5</w:t>
            </w:r>
          </w:p>
        </w:tc>
        <w:tc>
          <w:tcPr>
            <w:tcW w:w="552" w:type="pct"/>
            <w:vAlign w:val="center"/>
          </w:tcPr>
          <w:p w:rsidR="00E64815" w:rsidRPr="002F0397" w:rsidRDefault="00AA5429" w:rsidP="005D56CB">
            <w:pPr>
              <w:spacing w:line="360" w:lineRule="auto"/>
              <w:ind w:left="34" w:right="33" w:firstLine="3"/>
              <w:jc w:val="center"/>
              <w:cnfStyle w:val="000000100000"/>
              <w:rPr>
                <w:sz w:val="22"/>
                <w:szCs w:val="22"/>
              </w:rPr>
            </w:pPr>
            <w:r w:rsidRPr="002F0397">
              <w:rPr>
                <w:sz w:val="22"/>
                <w:szCs w:val="22"/>
              </w:rPr>
              <w:t>8,3</w:t>
            </w:r>
          </w:p>
        </w:tc>
      </w:tr>
      <w:tr w:rsidR="00E64815" w:rsidRPr="002F0397" w:rsidTr="005D56CB">
        <w:trPr>
          <w:cnfStyle w:val="000000010000"/>
        </w:trPr>
        <w:tc>
          <w:tcPr>
            <w:cnfStyle w:val="001000000000"/>
            <w:tcW w:w="1689" w:type="pct"/>
            <w:vAlign w:val="center"/>
          </w:tcPr>
          <w:p w:rsidR="00E64815" w:rsidRPr="002F0397" w:rsidRDefault="00E64815" w:rsidP="009743D6">
            <w:pPr>
              <w:rPr>
                <w:sz w:val="22"/>
                <w:szCs w:val="22"/>
              </w:rPr>
            </w:pPr>
            <w:r w:rsidRPr="002F0397">
              <w:rPr>
                <w:sz w:val="22"/>
                <w:szCs w:val="22"/>
              </w:rPr>
              <w:t>Расходы</w:t>
            </w:r>
          </w:p>
        </w:tc>
        <w:tc>
          <w:tcPr>
            <w:tcW w:w="551" w:type="pct"/>
            <w:vAlign w:val="center"/>
          </w:tcPr>
          <w:p w:rsidR="00E64815" w:rsidRPr="002F0397" w:rsidRDefault="00713C2D" w:rsidP="005D56CB">
            <w:pPr>
              <w:spacing w:line="360" w:lineRule="auto"/>
              <w:jc w:val="center"/>
              <w:cnfStyle w:val="000000010000"/>
              <w:rPr>
                <w:sz w:val="22"/>
                <w:szCs w:val="22"/>
              </w:rPr>
            </w:pPr>
            <w:r w:rsidRPr="002F0397">
              <w:rPr>
                <w:sz w:val="22"/>
                <w:szCs w:val="22"/>
              </w:rPr>
              <w:t>22,4</w:t>
            </w:r>
          </w:p>
        </w:tc>
        <w:tc>
          <w:tcPr>
            <w:tcW w:w="551" w:type="pct"/>
            <w:vAlign w:val="center"/>
          </w:tcPr>
          <w:p w:rsidR="00E64815" w:rsidRPr="002F0397" w:rsidRDefault="00713C2D" w:rsidP="005D56CB">
            <w:pPr>
              <w:spacing w:line="360" w:lineRule="auto"/>
              <w:jc w:val="center"/>
              <w:cnfStyle w:val="000000010000"/>
              <w:rPr>
                <w:sz w:val="22"/>
                <w:szCs w:val="22"/>
              </w:rPr>
            </w:pPr>
            <w:r w:rsidRPr="002F0397">
              <w:rPr>
                <w:sz w:val="22"/>
                <w:szCs w:val="22"/>
              </w:rPr>
              <w:t>20,1</w:t>
            </w:r>
          </w:p>
        </w:tc>
        <w:tc>
          <w:tcPr>
            <w:tcW w:w="552" w:type="pct"/>
            <w:gridSpan w:val="2"/>
            <w:vAlign w:val="center"/>
          </w:tcPr>
          <w:p w:rsidR="00E64815" w:rsidRPr="002F0397" w:rsidRDefault="00713C2D" w:rsidP="005D56CB">
            <w:pPr>
              <w:spacing w:line="360" w:lineRule="auto"/>
              <w:jc w:val="center"/>
              <w:cnfStyle w:val="000000010000"/>
              <w:rPr>
                <w:sz w:val="22"/>
                <w:szCs w:val="22"/>
              </w:rPr>
            </w:pPr>
            <w:r w:rsidRPr="002F0397">
              <w:rPr>
                <w:sz w:val="22"/>
                <w:szCs w:val="22"/>
              </w:rPr>
              <w:t>21,0</w:t>
            </w:r>
          </w:p>
        </w:tc>
        <w:tc>
          <w:tcPr>
            <w:tcW w:w="552" w:type="pct"/>
            <w:vAlign w:val="center"/>
          </w:tcPr>
          <w:p w:rsidR="00E64815" w:rsidRPr="002F0397" w:rsidRDefault="00AA5429" w:rsidP="005D56CB">
            <w:pPr>
              <w:spacing w:line="360" w:lineRule="auto"/>
              <w:jc w:val="center"/>
              <w:cnfStyle w:val="000000010000"/>
              <w:rPr>
                <w:sz w:val="22"/>
                <w:szCs w:val="22"/>
              </w:rPr>
            </w:pPr>
            <w:r w:rsidRPr="002F0397">
              <w:rPr>
                <w:sz w:val="22"/>
                <w:szCs w:val="22"/>
              </w:rPr>
              <w:t>20,1</w:t>
            </w:r>
          </w:p>
        </w:tc>
        <w:tc>
          <w:tcPr>
            <w:tcW w:w="552" w:type="pct"/>
            <w:vAlign w:val="center"/>
          </w:tcPr>
          <w:p w:rsidR="00E64815" w:rsidRPr="002F0397" w:rsidRDefault="00AA5429" w:rsidP="005D56CB">
            <w:pPr>
              <w:spacing w:line="360" w:lineRule="auto"/>
              <w:jc w:val="center"/>
              <w:cnfStyle w:val="000000010000"/>
              <w:rPr>
                <w:sz w:val="22"/>
                <w:szCs w:val="22"/>
              </w:rPr>
            </w:pPr>
            <w:r w:rsidRPr="002F0397">
              <w:rPr>
                <w:sz w:val="22"/>
                <w:szCs w:val="22"/>
              </w:rPr>
              <w:t>19,2</w:t>
            </w:r>
          </w:p>
        </w:tc>
        <w:tc>
          <w:tcPr>
            <w:tcW w:w="552" w:type="pct"/>
            <w:vAlign w:val="center"/>
          </w:tcPr>
          <w:p w:rsidR="00E64815" w:rsidRPr="002F0397" w:rsidRDefault="00AA5429" w:rsidP="005D56CB">
            <w:pPr>
              <w:spacing w:line="360" w:lineRule="auto"/>
              <w:ind w:left="34" w:right="33" w:firstLine="3"/>
              <w:jc w:val="center"/>
              <w:cnfStyle w:val="000000010000"/>
              <w:rPr>
                <w:sz w:val="22"/>
                <w:szCs w:val="22"/>
              </w:rPr>
            </w:pPr>
            <w:r w:rsidRPr="002F0397">
              <w:rPr>
                <w:sz w:val="22"/>
                <w:szCs w:val="22"/>
              </w:rPr>
              <w:t>18,8</w:t>
            </w:r>
          </w:p>
        </w:tc>
      </w:tr>
      <w:tr w:rsidR="00E64815" w:rsidRPr="002F0397" w:rsidTr="005D56CB">
        <w:trPr>
          <w:cnfStyle w:val="000000100000"/>
        </w:trPr>
        <w:tc>
          <w:tcPr>
            <w:cnfStyle w:val="001000000000"/>
            <w:tcW w:w="1689" w:type="pct"/>
            <w:vAlign w:val="center"/>
          </w:tcPr>
          <w:p w:rsidR="00E64815" w:rsidRPr="002F0397" w:rsidRDefault="00E64815" w:rsidP="009743D6">
            <w:pPr>
              <w:rPr>
                <w:sz w:val="22"/>
                <w:szCs w:val="22"/>
              </w:rPr>
            </w:pPr>
            <w:r w:rsidRPr="002F0397">
              <w:rPr>
                <w:sz w:val="22"/>
                <w:szCs w:val="22"/>
              </w:rPr>
              <w:t>Дефицит/профицит</w:t>
            </w:r>
          </w:p>
        </w:tc>
        <w:tc>
          <w:tcPr>
            <w:tcW w:w="551" w:type="pct"/>
            <w:vAlign w:val="center"/>
          </w:tcPr>
          <w:p w:rsidR="00E64815" w:rsidRPr="002F0397" w:rsidRDefault="00713C2D" w:rsidP="005D56CB">
            <w:pPr>
              <w:spacing w:line="360" w:lineRule="auto"/>
              <w:jc w:val="center"/>
              <w:cnfStyle w:val="000000100000"/>
              <w:rPr>
                <w:sz w:val="22"/>
                <w:szCs w:val="22"/>
              </w:rPr>
            </w:pPr>
            <w:r w:rsidRPr="002F0397">
              <w:rPr>
                <w:sz w:val="22"/>
                <w:szCs w:val="22"/>
              </w:rPr>
              <w:t>-4,0</w:t>
            </w:r>
          </w:p>
        </w:tc>
        <w:tc>
          <w:tcPr>
            <w:tcW w:w="551" w:type="pct"/>
            <w:vAlign w:val="center"/>
          </w:tcPr>
          <w:p w:rsidR="00E64815" w:rsidRPr="002F0397" w:rsidRDefault="00713C2D" w:rsidP="005D56CB">
            <w:pPr>
              <w:spacing w:line="360" w:lineRule="auto"/>
              <w:jc w:val="center"/>
              <w:cnfStyle w:val="000000100000"/>
              <w:rPr>
                <w:sz w:val="22"/>
                <w:szCs w:val="22"/>
              </w:rPr>
            </w:pPr>
            <w:r w:rsidRPr="002F0397">
              <w:rPr>
                <w:sz w:val="22"/>
                <w:szCs w:val="22"/>
              </w:rPr>
              <w:t>0,8</w:t>
            </w:r>
          </w:p>
        </w:tc>
        <w:tc>
          <w:tcPr>
            <w:tcW w:w="552" w:type="pct"/>
            <w:gridSpan w:val="2"/>
            <w:vAlign w:val="center"/>
          </w:tcPr>
          <w:p w:rsidR="00E64815" w:rsidRPr="002F0397" w:rsidRDefault="00713C2D" w:rsidP="005D56CB">
            <w:pPr>
              <w:spacing w:line="360" w:lineRule="auto"/>
              <w:jc w:val="center"/>
              <w:cnfStyle w:val="000000100000"/>
              <w:rPr>
                <w:sz w:val="22"/>
                <w:szCs w:val="22"/>
              </w:rPr>
            </w:pPr>
            <w:r w:rsidRPr="002F0397">
              <w:rPr>
                <w:sz w:val="22"/>
                <w:szCs w:val="22"/>
              </w:rPr>
              <w:t>-0,4</w:t>
            </w:r>
          </w:p>
        </w:tc>
        <w:tc>
          <w:tcPr>
            <w:tcW w:w="552" w:type="pct"/>
            <w:vAlign w:val="center"/>
          </w:tcPr>
          <w:p w:rsidR="00E64815" w:rsidRPr="002F0397" w:rsidRDefault="00AA5429" w:rsidP="005D56CB">
            <w:pPr>
              <w:spacing w:line="360" w:lineRule="auto"/>
              <w:jc w:val="center"/>
              <w:cnfStyle w:val="000000100000"/>
              <w:rPr>
                <w:sz w:val="22"/>
                <w:szCs w:val="22"/>
              </w:rPr>
            </w:pPr>
            <w:r w:rsidRPr="002F0397">
              <w:rPr>
                <w:sz w:val="22"/>
                <w:szCs w:val="22"/>
              </w:rPr>
              <w:t>-0,8</w:t>
            </w:r>
          </w:p>
        </w:tc>
        <w:tc>
          <w:tcPr>
            <w:tcW w:w="552" w:type="pct"/>
            <w:vAlign w:val="center"/>
          </w:tcPr>
          <w:p w:rsidR="00E64815" w:rsidRPr="002F0397" w:rsidRDefault="00AA5429" w:rsidP="005D56CB">
            <w:pPr>
              <w:spacing w:line="360" w:lineRule="auto"/>
              <w:jc w:val="center"/>
              <w:cnfStyle w:val="000000100000"/>
              <w:rPr>
                <w:sz w:val="22"/>
                <w:szCs w:val="22"/>
              </w:rPr>
            </w:pPr>
            <w:r w:rsidRPr="002F0397">
              <w:rPr>
                <w:sz w:val="22"/>
                <w:szCs w:val="22"/>
              </w:rPr>
              <w:t>-0,2</w:t>
            </w:r>
          </w:p>
        </w:tc>
        <w:tc>
          <w:tcPr>
            <w:tcW w:w="552" w:type="pct"/>
            <w:vAlign w:val="center"/>
          </w:tcPr>
          <w:p w:rsidR="00E64815" w:rsidRPr="002F0397" w:rsidRDefault="00AA5429" w:rsidP="005D56CB">
            <w:pPr>
              <w:spacing w:line="360" w:lineRule="auto"/>
              <w:ind w:left="34" w:right="33" w:firstLine="3"/>
              <w:jc w:val="center"/>
              <w:cnfStyle w:val="000000100000"/>
              <w:rPr>
                <w:sz w:val="22"/>
                <w:szCs w:val="22"/>
              </w:rPr>
            </w:pPr>
            <w:r w:rsidRPr="002F0397">
              <w:rPr>
                <w:sz w:val="22"/>
                <w:szCs w:val="22"/>
              </w:rPr>
              <w:t>0,0</w:t>
            </w:r>
          </w:p>
        </w:tc>
      </w:tr>
      <w:tr w:rsidR="00E64815" w:rsidRPr="002F0397" w:rsidTr="005D56CB">
        <w:trPr>
          <w:cnfStyle w:val="000000010000"/>
        </w:trPr>
        <w:tc>
          <w:tcPr>
            <w:cnfStyle w:val="001000000000"/>
            <w:tcW w:w="1689" w:type="pct"/>
            <w:vAlign w:val="center"/>
          </w:tcPr>
          <w:p w:rsidR="00E64815" w:rsidRPr="002F0397" w:rsidRDefault="00713C2D" w:rsidP="00713C2D">
            <w:pPr>
              <w:rPr>
                <w:b w:val="0"/>
                <w:sz w:val="22"/>
                <w:szCs w:val="22"/>
              </w:rPr>
            </w:pPr>
            <w:r w:rsidRPr="002F0397">
              <w:rPr>
                <w:b w:val="0"/>
                <w:sz w:val="22"/>
                <w:szCs w:val="22"/>
              </w:rPr>
              <w:lastRenderedPageBreak/>
              <w:t xml:space="preserve"> - в том числе н</w:t>
            </w:r>
            <w:r w:rsidR="00E64815" w:rsidRPr="002F0397">
              <w:rPr>
                <w:b w:val="0"/>
                <w:sz w:val="22"/>
                <w:szCs w:val="22"/>
              </w:rPr>
              <w:t>енефтегазовый дефицит</w:t>
            </w:r>
          </w:p>
        </w:tc>
        <w:tc>
          <w:tcPr>
            <w:tcW w:w="551" w:type="pct"/>
            <w:vAlign w:val="center"/>
          </w:tcPr>
          <w:p w:rsidR="00E64815" w:rsidRPr="002F0397" w:rsidRDefault="00713C2D" w:rsidP="005D56CB">
            <w:pPr>
              <w:spacing w:line="360" w:lineRule="auto"/>
              <w:jc w:val="center"/>
              <w:cnfStyle w:val="000000010000"/>
              <w:rPr>
                <w:sz w:val="22"/>
                <w:szCs w:val="22"/>
              </w:rPr>
            </w:pPr>
            <w:r w:rsidRPr="002F0397">
              <w:rPr>
                <w:sz w:val="22"/>
                <w:szCs w:val="22"/>
              </w:rPr>
              <w:t>-12,5</w:t>
            </w:r>
          </w:p>
        </w:tc>
        <w:tc>
          <w:tcPr>
            <w:tcW w:w="551" w:type="pct"/>
            <w:vAlign w:val="center"/>
          </w:tcPr>
          <w:p w:rsidR="00E64815" w:rsidRPr="002F0397" w:rsidRDefault="00E64815" w:rsidP="005D56CB">
            <w:pPr>
              <w:spacing w:line="360" w:lineRule="auto"/>
              <w:jc w:val="center"/>
              <w:cnfStyle w:val="000000010000"/>
              <w:rPr>
                <w:sz w:val="22"/>
                <w:szCs w:val="22"/>
              </w:rPr>
            </w:pPr>
            <w:r w:rsidRPr="002F0397">
              <w:rPr>
                <w:sz w:val="22"/>
                <w:szCs w:val="22"/>
              </w:rPr>
              <w:t>-</w:t>
            </w:r>
            <w:r w:rsidR="00713C2D" w:rsidRPr="002F0397">
              <w:rPr>
                <w:sz w:val="22"/>
                <w:szCs w:val="22"/>
              </w:rPr>
              <w:t>9,5</w:t>
            </w:r>
          </w:p>
        </w:tc>
        <w:tc>
          <w:tcPr>
            <w:tcW w:w="552" w:type="pct"/>
            <w:gridSpan w:val="2"/>
            <w:vAlign w:val="center"/>
          </w:tcPr>
          <w:p w:rsidR="00E64815" w:rsidRPr="002F0397" w:rsidRDefault="00713C2D" w:rsidP="005D56CB">
            <w:pPr>
              <w:spacing w:line="360" w:lineRule="auto"/>
              <w:jc w:val="center"/>
              <w:cnfStyle w:val="000000010000"/>
              <w:rPr>
                <w:sz w:val="22"/>
                <w:szCs w:val="22"/>
              </w:rPr>
            </w:pPr>
            <w:r w:rsidRPr="002F0397">
              <w:rPr>
                <w:sz w:val="22"/>
                <w:szCs w:val="22"/>
              </w:rPr>
              <w:t>-10,7</w:t>
            </w:r>
          </w:p>
        </w:tc>
        <w:tc>
          <w:tcPr>
            <w:tcW w:w="552" w:type="pct"/>
            <w:vAlign w:val="center"/>
          </w:tcPr>
          <w:p w:rsidR="00E64815" w:rsidRPr="002F0397" w:rsidRDefault="00AA5429" w:rsidP="005D56CB">
            <w:pPr>
              <w:spacing w:line="360" w:lineRule="auto"/>
              <w:jc w:val="center"/>
              <w:cnfStyle w:val="000000010000"/>
              <w:rPr>
                <w:sz w:val="22"/>
                <w:szCs w:val="22"/>
              </w:rPr>
            </w:pPr>
            <w:r w:rsidRPr="002F0397">
              <w:rPr>
                <w:sz w:val="22"/>
                <w:szCs w:val="22"/>
              </w:rPr>
              <w:t>-9,7</w:t>
            </w:r>
          </w:p>
        </w:tc>
        <w:tc>
          <w:tcPr>
            <w:tcW w:w="552" w:type="pct"/>
            <w:vAlign w:val="center"/>
          </w:tcPr>
          <w:p w:rsidR="00E64815" w:rsidRPr="002F0397" w:rsidRDefault="00AA5429" w:rsidP="005D56CB">
            <w:pPr>
              <w:spacing w:line="360" w:lineRule="auto"/>
              <w:jc w:val="center"/>
              <w:cnfStyle w:val="000000010000"/>
              <w:rPr>
                <w:sz w:val="22"/>
                <w:szCs w:val="22"/>
              </w:rPr>
            </w:pPr>
            <w:r w:rsidRPr="002F0397">
              <w:rPr>
                <w:sz w:val="22"/>
                <w:szCs w:val="22"/>
              </w:rPr>
              <w:t>-8,7</w:t>
            </w:r>
          </w:p>
        </w:tc>
        <w:tc>
          <w:tcPr>
            <w:tcW w:w="552" w:type="pct"/>
            <w:vAlign w:val="center"/>
          </w:tcPr>
          <w:p w:rsidR="00E64815" w:rsidRPr="002F0397" w:rsidRDefault="00AA5429" w:rsidP="005D56CB">
            <w:pPr>
              <w:spacing w:line="360" w:lineRule="auto"/>
              <w:ind w:left="34" w:right="33" w:firstLine="3"/>
              <w:jc w:val="center"/>
              <w:cnfStyle w:val="000000010000"/>
              <w:rPr>
                <w:sz w:val="22"/>
                <w:szCs w:val="22"/>
              </w:rPr>
            </w:pPr>
            <w:r w:rsidRPr="002F0397">
              <w:rPr>
                <w:sz w:val="22"/>
                <w:szCs w:val="22"/>
              </w:rPr>
              <w:t>-8,3</w:t>
            </w:r>
          </w:p>
        </w:tc>
      </w:tr>
      <w:tr w:rsidR="00713C2D" w:rsidRPr="002F0397" w:rsidTr="005D56CB">
        <w:trPr>
          <w:cnfStyle w:val="000000100000"/>
        </w:trPr>
        <w:tc>
          <w:tcPr>
            <w:cnfStyle w:val="001000000000"/>
            <w:tcW w:w="1689" w:type="pct"/>
            <w:vAlign w:val="center"/>
          </w:tcPr>
          <w:p w:rsidR="00713C2D" w:rsidRPr="002F0397" w:rsidRDefault="00713C2D" w:rsidP="00713C2D">
            <w:pPr>
              <w:rPr>
                <w:sz w:val="22"/>
                <w:szCs w:val="22"/>
              </w:rPr>
            </w:pPr>
            <w:r w:rsidRPr="002F0397">
              <w:rPr>
                <w:sz w:val="22"/>
                <w:szCs w:val="22"/>
              </w:rPr>
              <w:t xml:space="preserve">Факт и оценка ВВП, </w:t>
            </w:r>
          </w:p>
          <w:p w:rsidR="00713C2D" w:rsidRPr="002F0397" w:rsidRDefault="00713C2D" w:rsidP="00713C2D">
            <w:pPr>
              <w:rPr>
                <w:b w:val="0"/>
                <w:sz w:val="22"/>
                <w:szCs w:val="22"/>
              </w:rPr>
            </w:pPr>
            <w:r w:rsidRPr="002F0397">
              <w:rPr>
                <w:sz w:val="22"/>
                <w:szCs w:val="22"/>
              </w:rPr>
              <w:t>млрд. руб.</w:t>
            </w:r>
          </w:p>
        </w:tc>
        <w:tc>
          <w:tcPr>
            <w:tcW w:w="551" w:type="pct"/>
            <w:vAlign w:val="center"/>
          </w:tcPr>
          <w:p w:rsidR="00713C2D" w:rsidRPr="002F0397" w:rsidRDefault="00713C2D" w:rsidP="005D56CB">
            <w:pPr>
              <w:spacing w:line="360" w:lineRule="auto"/>
              <w:jc w:val="center"/>
              <w:cnfStyle w:val="000000100000"/>
              <w:rPr>
                <w:sz w:val="22"/>
                <w:szCs w:val="22"/>
              </w:rPr>
            </w:pPr>
            <w:r w:rsidRPr="002F0397">
              <w:rPr>
                <w:sz w:val="22"/>
                <w:szCs w:val="22"/>
              </w:rPr>
              <w:t>45166</w:t>
            </w:r>
          </w:p>
        </w:tc>
        <w:tc>
          <w:tcPr>
            <w:tcW w:w="551" w:type="pct"/>
            <w:vAlign w:val="center"/>
          </w:tcPr>
          <w:p w:rsidR="00713C2D" w:rsidRPr="002F0397" w:rsidRDefault="00713C2D" w:rsidP="005D56CB">
            <w:pPr>
              <w:spacing w:line="360" w:lineRule="auto"/>
              <w:jc w:val="center"/>
              <w:cnfStyle w:val="000000100000"/>
              <w:rPr>
                <w:sz w:val="22"/>
                <w:szCs w:val="22"/>
              </w:rPr>
            </w:pPr>
            <w:r w:rsidRPr="002F0397">
              <w:rPr>
                <w:sz w:val="22"/>
                <w:szCs w:val="22"/>
              </w:rPr>
              <w:t>54369</w:t>
            </w:r>
          </w:p>
        </w:tc>
        <w:tc>
          <w:tcPr>
            <w:tcW w:w="552" w:type="pct"/>
            <w:gridSpan w:val="2"/>
            <w:vAlign w:val="center"/>
          </w:tcPr>
          <w:p w:rsidR="00713C2D" w:rsidRPr="002F0397" w:rsidRDefault="00713C2D" w:rsidP="005D56CB">
            <w:pPr>
              <w:spacing w:line="360" w:lineRule="auto"/>
              <w:jc w:val="center"/>
              <w:cnfStyle w:val="000000100000"/>
              <w:rPr>
                <w:sz w:val="22"/>
                <w:szCs w:val="22"/>
              </w:rPr>
            </w:pPr>
            <w:r w:rsidRPr="002F0397">
              <w:rPr>
                <w:sz w:val="22"/>
                <w:szCs w:val="22"/>
              </w:rPr>
              <w:t>61238</w:t>
            </w:r>
          </w:p>
        </w:tc>
        <w:tc>
          <w:tcPr>
            <w:tcW w:w="552" w:type="pct"/>
            <w:vAlign w:val="center"/>
          </w:tcPr>
          <w:p w:rsidR="00713C2D" w:rsidRPr="002F0397" w:rsidRDefault="00AA5429" w:rsidP="005D56CB">
            <w:pPr>
              <w:spacing w:line="360" w:lineRule="auto"/>
              <w:jc w:val="center"/>
              <w:cnfStyle w:val="000000100000"/>
              <w:rPr>
                <w:sz w:val="22"/>
                <w:szCs w:val="22"/>
              </w:rPr>
            </w:pPr>
            <w:r w:rsidRPr="002F0397">
              <w:rPr>
                <w:sz w:val="22"/>
                <w:szCs w:val="22"/>
              </w:rPr>
              <w:t>66 515</w:t>
            </w:r>
          </w:p>
        </w:tc>
        <w:tc>
          <w:tcPr>
            <w:tcW w:w="552" w:type="pct"/>
            <w:vAlign w:val="center"/>
          </w:tcPr>
          <w:p w:rsidR="00713C2D" w:rsidRPr="002F0397" w:rsidRDefault="00AA5429" w:rsidP="005D56CB">
            <w:pPr>
              <w:spacing w:line="360" w:lineRule="auto"/>
              <w:jc w:val="center"/>
              <w:cnfStyle w:val="000000100000"/>
              <w:rPr>
                <w:sz w:val="22"/>
                <w:szCs w:val="22"/>
              </w:rPr>
            </w:pPr>
            <w:r w:rsidRPr="002F0397">
              <w:rPr>
                <w:sz w:val="22"/>
                <w:szCs w:val="22"/>
              </w:rPr>
              <w:t>73 993</w:t>
            </w:r>
          </w:p>
        </w:tc>
        <w:tc>
          <w:tcPr>
            <w:tcW w:w="552" w:type="pct"/>
            <w:vAlign w:val="center"/>
          </w:tcPr>
          <w:p w:rsidR="00713C2D" w:rsidRPr="002F0397" w:rsidRDefault="00AA5429" w:rsidP="005D56CB">
            <w:pPr>
              <w:spacing w:line="360" w:lineRule="auto"/>
              <w:ind w:left="34" w:right="33" w:firstLine="3"/>
              <w:jc w:val="center"/>
              <w:cnfStyle w:val="000000100000"/>
              <w:rPr>
                <w:sz w:val="22"/>
                <w:szCs w:val="22"/>
              </w:rPr>
            </w:pPr>
            <w:r w:rsidRPr="002F0397">
              <w:rPr>
                <w:sz w:val="22"/>
                <w:szCs w:val="22"/>
              </w:rPr>
              <w:t>82 937</w:t>
            </w:r>
          </w:p>
        </w:tc>
      </w:tr>
    </w:tbl>
    <w:p w:rsidR="008A7369" w:rsidRPr="003E504A" w:rsidRDefault="00AA5429" w:rsidP="00AA562D">
      <w:pPr>
        <w:spacing w:after="0" w:line="240" w:lineRule="auto"/>
        <w:rPr>
          <w:rStyle w:val="af8"/>
        </w:rPr>
      </w:pPr>
      <w:r w:rsidRPr="003E504A">
        <w:rPr>
          <w:rStyle w:val="af8"/>
        </w:rPr>
        <w:t>Источник:</w:t>
      </w:r>
      <w:r w:rsidR="00282F16" w:rsidRPr="003E504A">
        <w:rPr>
          <w:rStyle w:val="af8"/>
        </w:rPr>
        <w:t xml:space="preserve"> Материалы расширенной коллегии Минфина России «Исполнение федерального бюджета и бюджетов бюджетной системы России в 2012 году», Федеральный закон от 3.12</w:t>
      </w:r>
      <w:r w:rsidR="002B5575" w:rsidRPr="003E504A">
        <w:rPr>
          <w:rStyle w:val="af8"/>
        </w:rPr>
        <w:t>.2012г. № 216-ФЗ «О федеральном бюджете на 2013 год и на плановый период 2014 и 2015 годов»</w:t>
      </w:r>
    </w:p>
    <w:p w:rsidR="002B5575" w:rsidRPr="00AA562D" w:rsidRDefault="002B5575" w:rsidP="00AA562D">
      <w:pPr>
        <w:spacing w:after="0" w:line="240" w:lineRule="auto"/>
        <w:rPr>
          <w:i/>
        </w:rPr>
      </w:pPr>
    </w:p>
    <w:p w:rsidR="008A7369" w:rsidRPr="00AA562D" w:rsidRDefault="008A7369" w:rsidP="008A7369">
      <w:pPr>
        <w:spacing w:after="0" w:line="360" w:lineRule="auto"/>
        <w:ind w:firstLine="851"/>
        <w:jc w:val="both"/>
        <w:rPr>
          <w:sz w:val="28"/>
          <w:szCs w:val="28"/>
        </w:rPr>
      </w:pPr>
      <w:r w:rsidRPr="00AA562D">
        <w:rPr>
          <w:sz w:val="28"/>
          <w:szCs w:val="28"/>
        </w:rPr>
        <w:t>Принятие бюджетных правил, по оценке, приведет к снижению расходов федерального бюджета при базовой цене с 21,1% ВВП в 2012 году до 17,8% ВВП в 2020 году.</w:t>
      </w:r>
    </w:p>
    <w:p w:rsidR="008A7369" w:rsidRPr="00AA562D" w:rsidRDefault="008A7369" w:rsidP="008A7369">
      <w:pPr>
        <w:spacing w:after="0" w:line="360" w:lineRule="auto"/>
        <w:ind w:firstLine="851"/>
        <w:jc w:val="both"/>
        <w:rPr>
          <w:sz w:val="28"/>
          <w:szCs w:val="28"/>
        </w:rPr>
      </w:pPr>
      <w:r w:rsidRPr="00AA562D">
        <w:rPr>
          <w:sz w:val="28"/>
          <w:szCs w:val="28"/>
        </w:rPr>
        <w:t>При умеренном росте нефтяных цен до 2020 года (среднегодовая стоимость нефти составляет около 100 долларов США за баррель в ценах 2011 года) ненефтегазовый дефицит сократится с 10,6% ВВП до 7,8% ВВП, что будет свидетельствовать</w:t>
      </w:r>
      <w:r w:rsidR="002B5575">
        <w:rPr>
          <w:sz w:val="28"/>
          <w:szCs w:val="28"/>
        </w:rPr>
        <w:t xml:space="preserve"> об эффективности новых правил с точки зрения сбалансированности бюджетной системы.</w:t>
      </w:r>
    </w:p>
    <w:p w:rsidR="006D3037" w:rsidRPr="00AA562D" w:rsidRDefault="008A7369" w:rsidP="008A7369">
      <w:pPr>
        <w:spacing w:after="0" w:line="360" w:lineRule="auto"/>
        <w:ind w:firstLine="851"/>
        <w:jc w:val="both"/>
        <w:rPr>
          <w:sz w:val="28"/>
          <w:szCs w:val="28"/>
        </w:rPr>
      </w:pPr>
      <w:r w:rsidRPr="00AA562D">
        <w:rPr>
          <w:sz w:val="28"/>
          <w:szCs w:val="28"/>
        </w:rPr>
        <w:t>Сбережение дополнительных нефтегазовых доходов в Резервном фонде и Фонде национального благосостояния, предусмотренное введенными правилами, соответствует рекомендациям Международного Валютного Фонда (МВФ) по применению мер антициклической политики при колебании цен на биржевые товары (</w:t>
      </w:r>
      <w:r w:rsidRPr="00AA562D">
        <w:rPr>
          <w:sz w:val="28"/>
          <w:szCs w:val="28"/>
          <w:lang w:val="en-US"/>
        </w:rPr>
        <w:t>IMF</w:t>
      </w:r>
      <w:r w:rsidR="00EA703E">
        <w:rPr>
          <w:sz w:val="28"/>
          <w:szCs w:val="28"/>
        </w:rPr>
        <w:t xml:space="preserve"> </w:t>
      </w:r>
      <w:r w:rsidRPr="00AA562D">
        <w:rPr>
          <w:sz w:val="28"/>
          <w:szCs w:val="28"/>
          <w:lang w:val="en-US"/>
        </w:rPr>
        <w:t>Outlook</w:t>
      </w:r>
      <w:r w:rsidRPr="00AA562D">
        <w:rPr>
          <w:sz w:val="28"/>
          <w:szCs w:val="28"/>
        </w:rPr>
        <w:t>, 2012). При этом, на мой взгляд, сокращение предельного размера средств Резервного фонда с 10% ВВП до 7% ВВП является оправданной мерой, так как данный объем, с одной стороны, позволяет говорить о создании определенной «подушки безопасности» в случае резкого ухудшения внешнеэкономической конъюнктуры и мировой финансовой ситуации, а с другой стороны, не порождае</w:t>
      </w:r>
      <w:r w:rsidR="004E1758">
        <w:rPr>
          <w:sz w:val="28"/>
          <w:szCs w:val="28"/>
        </w:rPr>
        <w:t>т излишнее резервирование</w:t>
      </w:r>
      <w:r w:rsidRPr="00AA562D">
        <w:rPr>
          <w:sz w:val="28"/>
          <w:szCs w:val="28"/>
        </w:rPr>
        <w:t xml:space="preserve">, а сохраняет денежные средства в экономике с целью ее развития. </w:t>
      </w:r>
    </w:p>
    <w:p w:rsidR="004D2E55" w:rsidRDefault="008A7369" w:rsidP="004D2E55">
      <w:pPr>
        <w:spacing w:after="0" w:line="360" w:lineRule="auto"/>
        <w:ind w:firstLine="851"/>
        <w:jc w:val="both"/>
        <w:rPr>
          <w:sz w:val="28"/>
          <w:szCs w:val="28"/>
        </w:rPr>
      </w:pPr>
      <w:r w:rsidRPr="00AA562D">
        <w:rPr>
          <w:sz w:val="28"/>
          <w:szCs w:val="28"/>
        </w:rPr>
        <w:t xml:space="preserve">Кроме того, тот факт, что после достижения Резервным фондом уровня в 7% ВВП, до половины средств сверх этой планки может направляться на финансирование инвестиционных, в первую очередь, инфраструктурных проектов, также должен способствовать развитию </w:t>
      </w:r>
      <w:r w:rsidRPr="00AA562D">
        <w:rPr>
          <w:sz w:val="28"/>
          <w:szCs w:val="28"/>
        </w:rPr>
        <w:lastRenderedPageBreak/>
        <w:t>несырьевых секторов экономики России, что позволит снизить зависимость не только бюджета, но и экономики в целом от экспорта ресурсов.</w:t>
      </w:r>
    </w:p>
    <w:p w:rsidR="00EB2CC2" w:rsidRDefault="00EB2CC2" w:rsidP="004D2E55">
      <w:pPr>
        <w:spacing w:after="0" w:line="360" w:lineRule="auto"/>
        <w:ind w:firstLine="851"/>
        <w:jc w:val="both"/>
        <w:rPr>
          <w:sz w:val="28"/>
          <w:szCs w:val="28"/>
        </w:rPr>
      </w:pPr>
      <w:r>
        <w:rPr>
          <w:sz w:val="28"/>
          <w:szCs w:val="28"/>
        </w:rPr>
        <w:t xml:space="preserve">Здесь же стоит отметить, что залогом успешной деятельности суверенных фондов является </w:t>
      </w:r>
      <w:r w:rsidR="00333D57">
        <w:rPr>
          <w:sz w:val="28"/>
          <w:szCs w:val="28"/>
        </w:rPr>
        <w:t>реализация эффективной инвестиционной стратегии, которая позволяет не только сохранить средства в фонде , но и приумножить. И</w:t>
      </w:r>
      <w:r>
        <w:rPr>
          <w:sz w:val="28"/>
          <w:szCs w:val="28"/>
        </w:rPr>
        <w:t>менно поэтому работа по совершенствованию механизмов управления нефтегазовыми доходами федерального бюджета продолжается. Так, на рассмотрении в Государственной Думе сейчас находится законопроект федерального закона «</w:t>
      </w:r>
      <w:r w:rsidRPr="00EB2CC2">
        <w:rPr>
          <w:sz w:val="28"/>
          <w:szCs w:val="28"/>
        </w:rPr>
        <w:t>О внесении изменений в Бюджетный кодекс Российской Федерации и установлении требований к работникам специализированной финансовой организации, учреждаемой Правительством Российской Федерации»</w:t>
      </w:r>
      <w:r>
        <w:rPr>
          <w:sz w:val="28"/>
          <w:szCs w:val="28"/>
        </w:rPr>
        <w:t>, который предусматривает создание специализированной финансовой организации (Российского финансового агентства), осуществляющей функции по размещению и учету финансовых активов Российской Федерации, в том числе средств Резервного фонда и Фонда национального благосостояния.</w:t>
      </w:r>
    </w:p>
    <w:p w:rsidR="00682CD6" w:rsidRDefault="00333D57" w:rsidP="004D2E55">
      <w:pPr>
        <w:spacing w:after="0" w:line="360" w:lineRule="auto"/>
        <w:ind w:firstLine="851"/>
        <w:jc w:val="both"/>
        <w:rPr>
          <w:sz w:val="28"/>
          <w:szCs w:val="28"/>
        </w:rPr>
      </w:pPr>
      <w:r>
        <w:rPr>
          <w:sz w:val="28"/>
          <w:szCs w:val="28"/>
        </w:rPr>
        <w:t>Мировой опыт управления суверенными фондами показывает, что характер инвестиционной политики во многом определяется типом фонда. Так, стабилизационные фонды ведут консервативную инвестиционную политику, вкладывая средства в низкодоходные инструменты с низкими рисками, в то время как средства фондов будущих поколений инвестируются в диверсифицированный пакет активов с большей доходностью и большими рисками</w:t>
      </w:r>
      <w:r w:rsidR="00187A39">
        <w:rPr>
          <w:sz w:val="28"/>
          <w:szCs w:val="28"/>
        </w:rPr>
        <w:t xml:space="preserve"> (Пупынин, 2011)</w:t>
      </w:r>
      <w:r>
        <w:rPr>
          <w:sz w:val="28"/>
          <w:szCs w:val="28"/>
        </w:rPr>
        <w:t xml:space="preserve">. </w:t>
      </w:r>
      <w:r w:rsidR="00187A39">
        <w:rPr>
          <w:sz w:val="28"/>
          <w:szCs w:val="28"/>
        </w:rPr>
        <w:t>Это отличие обусловлено тем фактом, что в случае стабилизационных фондов должны быть созданы механизмы оперативного изъятия средств с целью финансирования выпадающих доходов бюджета в период внешних шоков, задачей же фондов будущих поколения является максимизация доходов в долгосрочной перспективе.</w:t>
      </w:r>
      <w:r w:rsidR="008B1D79">
        <w:rPr>
          <w:sz w:val="28"/>
          <w:szCs w:val="28"/>
        </w:rPr>
        <w:t xml:space="preserve"> В </w:t>
      </w:r>
      <w:r w:rsidR="008B1D79" w:rsidRPr="0051540B">
        <w:rPr>
          <w:sz w:val="28"/>
          <w:szCs w:val="28"/>
        </w:rPr>
        <w:t>таблице</w:t>
      </w:r>
      <w:r w:rsidR="0051540B" w:rsidRPr="0051540B">
        <w:rPr>
          <w:sz w:val="28"/>
          <w:szCs w:val="28"/>
        </w:rPr>
        <w:t xml:space="preserve"> 8</w:t>
      </w:r>
      <w:r w:rsidR="008B1D79">
        <w:rPr>
          <w:sz w:val="28"/>
          <w:szCs w:val="28"/>
        </w:rPr>
        <w:t xml:space="preserve"> представлена структура активов </w:t>
      </w:r>
      <w:r w:rsidR="008B1D79">
        <w:rPr>
          <w:sz w:val="28"/>
          <w:szCs w:val="28"/>
        </w:rPr>
        <w:lastRenderedPageBreak/>
        <w:t>суверенных фондов ряда стран с различными целями и инвестиционными стратегиями.</w:t>
      </w:r>
    </w:p>
    <w:p w:rsidR="008B1D79" w:rsidRPr="00CF4388" w:rsidRDefault="008B1D79" w:rsidP="00126334">
      <w:pPr>
        <w:spacing w:after="0"/>
        <w:ind w:firstLine="851"/>
        <w:jc w:val="right"/>
        <w:rPr>
          <w:i/>
          <w:sz w:val="26"/>
          <w:szCs w:val="26"/>
        </w:rPr>
      </w:pPr>
      <w:r w:rsidRPr="0051540B">
        <w:rPr>
          <w:i/>
          <w:sz w:val="26"/>
          <w:szCs w:val="26"/>
        </w:rPr>
        <w:t>Таблица</w:t>
      </w:r>
      <w:r w:rsidR="0051540B" w:rsidRPr="00CF4388">
        <w:rPr>
          <w:i/>
          <w:sz w:val="26"/>
          <w:szCs w:val="26"/>
        </w:rPr>
        <w:t xml:space="preserve"> 8</w:t>
      </w:r>
    </w:p>
    <w:p w:rsidR="008B1D79" w:rsidRPr="00126334" w:rsidRDefault="008B1D79" w:rsidP="00126334">
      <w:pPr>
        <w:spacing w:after="0"/>
        <w:ind w:firstLine="851"/>
        <w:jc w:val="center"/>
        <w:rPr>
          <w:b/>
          <w:sz w:val="26"/>
          <w:szCs w:val="26"/>
        </w:rPr>
      </w:pPr>
      <w:r w:rsidRPr="00126334">
        <w:rPr>
          <w:b/>
          <w:sz w:val="26"/>
          <w:szCs w:val="26"/>
        </w:rPr>
        <w:t>Инвестиционные стратегии различных суверенных фондов: структура активов, %</w:t>
      </w:r>
    </w:p>
    <w:tbl>
      <w:tblPr>
        <w:tblStyle w:val="1-12"/>
        <w:tblW w:w="9180" w:type="dxa"/>
        <w:tblLayout w:type="fixed"/>
        <w:tblLook w:val="04A0"/>
      </w:tblPr>
      <w:tblGrid>
        <w:gridCol w:w="2235"/>
        <w:gridCol w:w="963"/>
        <w:gridCol w:w="964"/>
        <w:gridCol w:w="964"/>
        <w:gridCol w:w="964"/>
        <w:gridCol w:w="964"/>
        <w:gridCol w:w="2126"/>
      </w:tblGrid>
      <w:tr w:rsidR="008B1D79" w:rsidRPr="008B1D79" w:rsidTr="00126334">
        <w:trPr>
          <w:cnfStyle w:val="100000000000"/>
          <w:cantSplit/>
          <w:trHeight w:val="1832"/>
        </w:trPr>
        <w:tc>
          <w:tcPr>
            <w:cnfStyle w:val="001000000000"/>
            <w:tcW w:w="2235" w:type="dxa"/>
            <w:vAlign w:val="center"/>
          </w:tcPr>
          <w:p w:rsidR="008B1D79" w:rsidRPr="00126334" w:rsidRDefault="008B1D79" w:rsidP="00126334">
            <w:pPr>
              <w:jc w:val="center"/>
              <w:rPr>
                <w:sz w:val="22"/>
                <w:szCs w:val="22"/>
              </w:rPr>
            </w:pPr>
            <w:r w:rsidRPr="00126334">
              <w:rPr>
                <w:sz w:val="22"/>
                <w:szCs w:val="22"/>
              </w:rPr>
              <w:t>Категория фонда</w:t>
            </w:r>
          </w:p>
        </w:tc>
        <w:tc>
          <w:tcPr>
            <w:tcW w:w="963" w:type="dxa"/>
            <w:textDirection w:val="btLr"/>
            <w:vAlign w:val="center"/>
          </w:tcPr>
          <w:p w:rsidR="008B1D79" w:rsidRPr="00126334" w:rsidRDefault="008B1D79" w:rsidP="00126334">
            <w:pPr>
              <w:ind w:left="113" w:right="113"/>
              <w:jc w:val="center"/>
              <w:cnfStyle w:val="100000000000"/>
              <w:rPr>
                <w:sz w:val="22"/>
                <w:szCs w:val="22"/>
              </w:rPr>
            </w:pPr>
            <w:r w:rsidRPr="00126334">
              <w:rPr>
                <w:sz w:val="22"/>
                <w:szCs w:val="22"/>
              </w:rPr>
              <w:t>Наличность/ депозиты</w:t>
            </w:r>
          </w:p>
        </w:tc>
        <w:tc>
          <w:tcPr>
            <w:tcW w:w="964" w:type="dxa"/>
            <w:textDirection w:val="btLr"/>
            <w:vAlign w:val="center"/>
          </w:tcPr>
          <w:p w:rsidR="008B1D79" w:rsidRPr="00126334" w:rsidRDefault="008B1D79" w:rsidP="00126334">
            <w:pPr>
              <w:ind w:left="113" w:right="113"/>
              <w:jc w:val="center"/>
              <w:cnfStyle w:val="100000000000"/>
              <w:rPr>
                <w:sz w:val="22"/>
                <w:szCs w:val="22"/>
              </w:rPr>
            </w:pPr>
            <w:r w:rsidRPr="00126334">
              <w:rPr>
                <w:sz w:val="22"/>
                <w:szCs w:val="22"/>
              </w:rPr>
              <w:t>Инструменты с фиксированной доходностью</w:t>
            </w:r>
          </w:p>
        </w:tc>
        <w:tc>
          <w:tcPr>
            <w:tcW w:w="964" w:type="dxa"/>
            <w:textDirection w:val="btLr"/>
            <w:vAlign w:val="center"/>
          </w:tcPr>
          <w:p w:rsidR="008B1D79" w:rsidRPr="00126334" w:rsidRDefault="008B1D79" w:rsidP="00126334">
            <w:pPr>
              <w:ind w:left="113" w:right="113"/>
              <w:jc w:val="center"/>
              <w:cnfStyle w:val="100000000000"/>
              <w:rPr>
                <w:sz w:val="22"/>
                <w:szCs w:val="22"/>
              </w:rPr>
            </w:pPr>
            <w:r w:rsidRPr="00126334">
              <w:rPr>
                <w:sz w:val="22"/>
                <w:szCs w:val="22"/>
              </w:rPr>
              <w:t>Акции (портфельные инвестиции)</w:t>
            </w:r>
          </w:p>
        </w:tc>
        <w:tc>
          <w:tcPr>
            <w:tcW w:w="964" w:type="dxa"/>
            <w:textDirection w:val="btLr"/>
            <w:vAlign w:val="center"/>
          </w:tcPr>
          <w:p w:rsidR="008B1D79" w:rsidRPr="00126334" w:rsidRDefault="008B1D79" w:rsidP="00126334">
            <w:pPr>
              <w:ind w:left="113" w:right="113"/>
              <w:jc w:val="center"/>
              <w:cnfStyle w:val="100000000000"/>
              <w:rPr>
                <w:sz w:val="22"/>
                <w:szCs w:val="22"/>
              </w:rPr>
            </w:pPr>
            <w:r w:rsidRPr="00126334">
              <w:rPr>
                <w:sz w:val="22"/>
                <w:szCs w:val="22"/>
              </w:rPr>
              <w:t>Прямые инвестиции</w:t>
            </w:r>
          </w:p>
        </w:tc>
        <w:tc>
          <w:tcPr>
            <w:tcW w:w="964" w:type="dxa"/>
            <w:textDirection w:val="btLr"/>
            <w:vAlign w:val="center"/>
          </w:tcPr>
          <w:p w:rsidR="008B1D79" w:rsidRPr="00126334" w:rsidRDefault="008B1D79" w:rsidP="00126334">
            <w:pPr>
              <w:ind w:left="113" w:right="113"/>
              <w:jc w:val="center"/>
              <w:cnfStyle w:val="100000000000"/>
              <w:rPr>
                <w:sz w:val="22"/>
                <w:szCs w:val="22"/>
              </w:rPr>
            </w:pPr>
            <w:r w:rsidRPr="00126334">
              <w:rPr>
                <w:sz w:val="22"/>
                <w:szCs w:val="22"/>
              </w:rPr>
              <w:t>Другие активы</w:t>
            </w:r>
          </w:p>
        </w:tc>
        <w:tc>
          <w:tcPr>
            <w:tcW w:w="2126" w:type="dxa"/>
            <w:vAlign w:val="center"/>
          </w:tcPr>
          <w:p w:rsidR="008B1D79" w:rsidRPr="00126334" w:rsidRDefault="008B1D79" w:rsidP="00126334">
            <w:pPr>
              <w:jc w:val="center"/>
              <w:cnfStyle w:val="100000000000"/>
              <w:rPr>
                <w:sz w:val="22"/>
                <w:szCs w:val="22"/>
              </w:rPr>
            </w:pPr>
            <w:r w:rsidRPr="00126334">
              <w:rPr>
                <w:sz w:val="22"/>
                <w:szCs w:val="22"/>
              </w:rPr>
              <w:t>Примеры</w:t>
            </w:r>
          </w:p>
        </w:tc>
      </w:tr>
      <w:tr w:rsidR="008B1D79" w:rsidRPr="008B1D79" w:rsidTr="00126334">
        <w:trPr>
          <w:cnfStyle w:val="000000100000"/>
          <w:cantSplit/>
          <w:trHeight w:val="1134"/>
        </w:trPr>
        <w:tc>
          <w:tcPr>
            <w:cnfStyle w:val="001000000000"/>
            <w:tcW w:w="2235" w:type="dxa"/>
            <w:vAlign w:val="center"/>
          </w:tcPr>
          <w:p w:rsidR="008B1D79" w:rsidRPr="008B1D79" w:rsidRDefault="008B1D79" w:rsidP="00126334">
            <w:pPr>
              <w:rPr>
                <w:b w:val="0"/>
                <w:sz w:val="22"/>
                <w:szCs w:val="22"/>
              </w:rPr>
            </w:pPr>
            <w:r w:rsidRPr="008B1D79">
              <w:rPr>
                <w:b w:val="0"/>
                <w:sz w:val="22"/>
                <w:szCs w:val="22"/>
              </w:rPr>
              <w:t>Консервативная стратегия (стабилизационная цель)</w:t>
            </w:r>
          </w:p>
        </w:tc>
        <w:tc>
          <w:tcPr>
            <w:tcW w:w="963" w:type="dxa"/>
            <w:vAlign w:val="center"/>
          </w:tcPr>
          <w:p w:rsidR="008B1D79" w:rsidRPr="008B1D79" w:rsidRDefault="008B1D79" w:rsidP="00126334">
            <w:pPr>
              <w:jc w:val="center"/>
              <w:cnfStyle w:val="000000100000"/>
              <w:rPr>
                <w:sz w:val="22"/>
                <w:szCs w:val="22"/>
              </w:rPr>
            </w:pPr>
            <w:r w:rsidRPr="008B1D79">
              <w:rPr>
                <w:sz w:val="22"/>
                <w:szCs w:val="22"/>
              </w:rPr>
              <w:t>20-30</w:t>
            </w:r>
          </w:p>
        </w:tc>
        <w:tc>
          <w:tcPr>
            <w:tcW w:w="964" w:type="dxa"/>
            <w:vAlign w:val="center"/>
          </w:tcPr>
          <w:p w:rsidR="008B1D79" w:rsidRPr="008B1D79" w:rsidRDefault="008B1D79" w:rsidP="00126334">
            <w:pPr>
              <w:jc w:val="center"/>
              <w:cnfStyle w:val="000000100000"/>
              <w:rPr>
                <w:sz w:val="22"/>
                <w:szCs w:val="22"/>
              </w:rPr>
            </w:pPr>
            <w:r w:rsidRPr="008B1D79">
              <w:rPr>
                <w:sz w:val="22"/>
                <w:szCs w:val="22"/>
              </w:rPr>
              <w:t>50-70</w:t>
            </w:r>
          </w:p>
        </w:tc>
        <w:tc>
          <w:tcPr>
            <w:tcW w:w="964" w:type="dxa"/>
            <w:vAlign w:val="center"/>
          </w:tcPr>
          <w:p w:rsidR="008B1D79" w:rsidRPr="008B1D79" w:rsidRDefault="008B1D79" w:rsidP="00126334">
            <w:pPr>
              <w:jc w:val="center"/>
              <w:cnfStyle w:val="000000100000"/>
              <w:rPr>
                <w:sz w:val="22"/>
                <w:szCs w:val="22"/>
              </w:rPr>
            </w:pPr>
            <w:r w:rsidRPr="008B1D79">
              <w:rPr>
                <w:sz w:val="22"/>
                <w:szCs w:val="22"/>
              </w:rPr>
              <w:t>0-25</w:t>
            </w:r>
          </w:p>
        </w:tc>
        <w:tc>
          <w:tcPr>
            <w:tcW w:w="964" w:type="dxa"/>
            <w:vAlign w:val="center"/>
          </w:tcPr>
          <w:p w:rsidR="008B1D79" w:rsidRPr="008B1D79" w:rsidRDefault="008B1D79" w:rsidP="00126334">
            <w:pPr>
              <w:jc w:val="center"/>
              <w:cnfStyle w:val="000000100000"/>
              <w:rPr>
                <w:sz w:val="22"/>
                <w:szCs w:val="22"/>
              </w:rPr>
            </w:pPr>
            <w:r w:rsidRPr="008B1D79">
              <w:rPr>
                <w:sz w:val="22"/>
                <w:szCs w:val="22"/>
              </w:rPr>
              <w:t>0</w:t>
            </w:r>
          </w:p>
        </w:tc>
        <w:tc>
          <w:tcPr>
            <w:tcW w:w="964" w:type="dxa"/>
            <w:vAlign w:val="center"/>
          </w:tcPr>
          <w:p w:rsidR="008B1D79" w:rsidRPr="008B1D79" w:rsidRDefault="008B1D79" w:rsidP="00126334">
            <w:pPr>
              <w:jc w:val="center"/>
              <w:cnfStyle w:val="000000100000"/>
              <w:rPr>
                <w:sz w:val="22"/>
                <w:szCs w:val="22"/>
              </w:rPr>
            </w:pPr>
            <w:r w:rsidRPr="008B1D79">
              <w:rPr>
                <w:sz w:val="22"/>
                <w:szCs w:val="22"/>
              </w:rPr>
              <w:t>0</w:t>
            </w:r>
          </w:p>
        </w:tc>
        <w:tc>
          <w:tcPr>
            <w:tcW w:w="2126" w:type="dxa"/>
            <w:vAlign w:val="center"/>
          </w:tcPr>
          <w:p w:rsidR="008B1D79" w:rsidRPr="008B1D79" w:rsidRDefault="008B1D79" w:rsidP="00126334">
            <w:pPr>
              <w:autoSpaceDE w:val="0"/>
              <w:autoSpaceDN w:val="0"/>
              <w:adjustRightInd w:val="0"/>
              <w:cnfStyle w:val="000000100000"/>
              <w:rPr>
                <w:sz w:val="22"/>
                <w:szCs w:val="22"/>
              </w:rPr>
            </w:pPr>
            <w:r w:rsidRPr="008B1D79">
              <w:rPr>
                <w:sz w:val="22"/>
                <w:szCs w:val="22"/>
              </w:rPr>
              <w:t>Саудовская Аравия,</w:t>
            </w:r>
          </w:p>
          <w:p w:rsidR="008B1D79" w:rsidRPr="008B1D79" w:rsidRDefault="008B1D79" w:rsidP="00126334">
            <w:pPr>
              <w:autoSpaceDE w:val="0"/>
              <w:autoSpaceDN w:val="0"/>
              <w:adjustRightInd w:val="0"/>
              <w:cnfStyle w:val="000000100000"/>
              <w:rPr>
                <w:sz w:val="22"/>
                <w:szCs w:val="22"/>
              </w:rPr>
            </w:pPr>
            <w:r w:rsidRPr="008B1D79">
              <w:rPr>
                <w:sz w:val="22"/>
                <w:szCs w:val="22"/>
              </w:rPr>
              <w:t>Кувейт (резервный</w:t>
            </w:r>
          </w:p>
          <w:p w:rsidR="008B1D79" w:rsidRPr="008B1D79" w:rsidRDefault="008B1D79" w:rsidP="00126334">
            <w:pPr>
              <w:cnfStyle w:val="000000100000"/>
              <w:rPr>
                <w:sz w:val="22"/>
                <w:szCs w:val="22"/>
              </w:rPr>
            </w:pPr>
            <w:r w:rsidRPr="008B1D79">
              <w:rPr>
                <w:sz w:val="22"/>
                <w:szCs w:val="22"/>
              </w:rPr>
              <w:t>фонд)</w:t>
            </w:r>
          </w:p>
        </w:tc>
      </w:tr>
      <w:tr w:rsidR="008B1D79" w:rsidRPr="008B1D79" w:rsidTr="00126334">
        <w:trPr>
          <w:cnfStyle w:val="000000010000"/>
          <w:cantSplit/>
          <w:trHeight w:val="1134"/>
        </w:trPr>
        <w:tc>
          <w:tcPr>
            <w:cnfStyle w:val="001000000000"/>
            <w:tcW w:w="2235" w:type="dxa"/>
            <w:vAlign w:val="center"/>
          </w:tcPr>
          <w:p w:rsidR="008B1D79" w:rsidRPr="008B1D79" w:rsidRDefault="008B1D79" w:rsidP="00126334">
            <w:pPr>
              <w:rPr>
                <w:b w:val="0"/>
                <w:sz w:val="22"/>
                <w:szCs w:val="22"/>
              </w:rPr>
            </w:pPr>
            <w:r w:rsidRPr="008B1D79">
              <w:rPr>
                <w:b w:val="0"/>
                <w:sz w:val="22"/>
                <w:szCs w:val="22"/>
              </w:rPr>
              <w:t>Получение высокой доходности (портфельные инвесторы)</w:t>
            </w:r>
          </w:p>
        </w:tc>
        <w:tc>
          <w:tcPr>
            <w:tcW w:w="963" w:type="dxa"/>
            <w:vAlign w:val="center"/>
          </w:tcPr>
          <w:p w:rsidR="008B1D79" w:rsidRPr="008B1D79" w:rsidRDefault="008B1D79" w:rsidP="00126334">
            <w:pPr>
              <w:jc w:val="center"/>
              <w:cnfStyle w:val="000000010000"/>
              <w:rPr>
                <w:sz w:val="22"/>
                <w:szCs w:val="22"/>
              </w:rPr>
            </w:pPr>
            <w:r w:rsidRPr="008B1D79">
              <w:rPr>
                <w:sz w:val="22"/>
                <w:szCs w:val="22"/>
              </w:rPr>
              <w:t>5-10</w:t>
            </w:r>
          </w:p>
        </w:tc>
        <w:tc>
          <w:tcPr>
            <w:tcW w:w="964" w:type="dxa"/>
            <w:vAlign w:val="center"/>
          </w:tcPr>
          <w:p w:rsidR="008B1D79" w:rsidRPr="008B1D79" w:rsidRDefault="008B1D79" w:rsidP="00126334">
            <w:pPr>
              <w:jc w:val="center"/>
              <w:cnfStyle w:val="000000010000"/>
              <w:rPr>
                <w:sz w:val="22"/>
                <w:szCs w:val="22"/>
              </w:rPr>
            </w:pPr>
            <w:r w:rsidRPr="008B1D79">
              <w:rPr>
                <w:sz w:val="22"/>
                <w:szCs w:val="22"/>
              </w:rPr>
              <w:t>10-20</w:t>
            </w:r>
          </w:p>
        </w:tc>
        <w:tc>
          <w:tcPr>
            <w:tcW w:w="964" w:type="dxa"/>
            <w:vAlign w:val="center"/>
          </w:tcPr>
          <w:p w:rsidR="008B1D79" w:rsidRPr="008B1D79" w:rsidRDefault="008B1D79" w:rsidP="00126334">
            <w:pPr>
              <w:jc w:val="center"/>
              <w:cnfStyle w:val="000000010000"/>
              <w:rPr>
                <w:sz w:val="22"/>
                <w:szCs w:val="22"/>
              </w:rPr>
            </w:pPr>
            <w:r w:rsidRPr="008B1D79">
              <w:rPr>
                <w:sz w:val="22"/>
                <w:szCs w:val="22"/>
              </w:rPr>
              <w:t>50-60</w:t>
            </w:r>
          </w:p>
        </w:tc>
        <w:tc>
          <w:tcPr>
            <w:tcW w:w="964" w:type="dxa"/>
            <w:vAlign w:val="center"/>
          </w:tcPr>
          <w:p w:rsidR="008B1D79" w:rsidRPr="008B1D79" w:rsidRDefault="008B1D79" w:rsidP="00126334">
            <w:pPr>
              <w:jc w:val="center"/>
              <w:cnfStyle w:val="000000010000"/>
              <w:rPr>
                <w:sz w:val="22"/>
                <w:szCs w:val="22"/>
              </w:rPr>
            </w:pPr>
            <w:r w:rsidRPr="008B1D79">
              <w:rPr>
                <w:sz w:val="22"/>
                <w:szCs w:val="22"/>
              </w:rPr>
              <w:t>5-10</w:t>
            </w:r>
          </w:p>
        </w:tc>
        <w:tc>
          <w:tcPr>
            <w:tcW w:w="964" w:type="dxa"/>
            <w:vAlign w:val="center"/>
          </w:tcPr>
          <w:p w:rsidR="008B1D79" w:rsidRPr="008B1D79" w:rsidRDefault="008B1D79" w:rsidP="00126334">
            <w:pPr>
              <w:jc w:val="center"/>
              <w:cnfStyle w:val="000000010000"/>
              <w:rPr>
                <w:sz w:val="22"/>
                <w:szCs w:val="22"/>
              </w:rPr>
            </w:pPr>
            <w:r w:rsidRPr="008B1D79">
              <w:rPr>
                <w:sz w:val="22"/>
                <w:szCs w:val="22"/>
              </w:rPr>
              <w:t>10-20</w:t>
            </w:r>
          </w:p>
        </w:tc>
        <w:tc>
          <w:tcPr>
            <w:tcW w:w="2126" w:type="dxa"/>
            <w:vAlign w:val="center"/>
          </w:tcPr>
          <w:p w:rsidR="008B1D79" w:rsidRPr="008B1D79" w:rsidRDefault="00126334" w:rsidP="00126334">
            <w:pPr>
              <w:autoSpaceDE w:val="0"/>
              <w:autoSpaceDN w:val="0"/>
              <w:adjustRightInd w:val="0"/>
              <w:cnfStyle w:val="000000010000"/>
              <w:rPr>
                <w:sz w:val="22"/>
                <w:szCs w:val="22"/>
              </w:rPr>
            </w:pPr>
            <w:r>
              <w:rPr>
                <w:sz w:val="22"/>
                <w:szCs w:val="22"/>
              </w:rPr>
              <w:t xml:space="preserve">Абу Даби, Кувейт (фонд будущих </w:t>
            </w:r>
            <w:r w:rsidR="008B1D79" w:rsidRPr="008B1D79">
              <w:rPr>
                <w:sz w:val="22"/>
                <w:szCs w:val="22"/>
              </w:rPr>
              <w:t>поколений),</w:t>
            </w:r>
          </w:p>
          <w:p w:rsidR="008B1D79" w:rsidRPr="008B1D79" w:rsidRDefault="008B1D79" w:rsidP="00126334">
            <w:pPr>
              <w:cnfStyle w:val="000000010000"/>
              <w:rPr>
                <w:sz w:val="22"/>
                <w:szCs w:val="22"/>
              </w:rPr>
            </w:pPr>
            <w:r w:rsidRPr="008B1D79">
              <w:rPr>
                <w:sz w:val="22"/>
                <w:szCs w:val="22"/>
              </w:rPr>
              <w:t>Норвегия, Сингапур</w:t>
            </w:r>
          </w:p>
        </w:tc>
      </w:tr>
      <w:tr w:rsidR="008B1D79" w:rsidRPr="008B1D79" w:rsidTr="00126334">
        <w:trPr>
          <w:cnfStyle w:val="000000100000"/>
          <w:cantSplit/>
          <w:trHeight w:val="1134"/>
        </w:trPr>
        <w:tc>
          <w:tcPr>
            <w:cnfStyle w:val="001000000000"/>
            <w:tcW w:w="2235" w:type="dxa"/>
            <w:vAlign w:val="center"/>
          </w:tcPr>
          <w:p w:rsidR="008B1D79" w:rsidRPr="008B1D79" w:rsidRDefault="008B1D79" w:rsidP="00126334">
            <w:pPr>
              <w:rPr>
                <w:b w:val="0"/>
                <w:sz w:val="22"/>
                <w:szCs w:val="22"/>
              </w:rPr>
            </w:pPr>
            <w:r w:rsidRPr="008B1D79">
              <w:rPr>
                <w:b w:val="0"/>
                <w:sz w:val="22"/>
                <w:szCs w:val="22"/>
              </w:rPr>
              <w:t>Стратегические инвестиции</w:t>
            </w:r>
          </w:p>
        </w:tc>
        <w:tc>
          <w:tcPr>
            <w:tcW w:w="963" w:type="dxa"/>
            <w:vAlign w:val="center"/>
          </w:tcPr>
          <w:p w:rsidR="008B1D79" w:rsidRPr="008B1D79" w:rsidRDefault="008B1D79" w:rsidP="00126334">
            <w:pPr>
              <w:jc w:val="center"/>
              <w:cnfStyle w:val="000000100000"/>
              <w:rPr>
                <w:sz w:val="22"/>
                <w:szCs w:val="22"/>
              </w:rPr>
            </w:pPr>
            <w:r w:rsidRPr="008B1D79">
              <w:rPr>
                <w:sz w:val="22"/>
                <w:szCs w:val="22"/>
              </w:rPr>
              <w:t>0</w:t>
            </w:r>
          </w:p>
        </w:tc>
        <w:tc>
          <w:tcPr>
            <w:tcW w:w="964" w:type="dxa"/>
            <w:vAlign w:val="center"/>
          </w:tcPr>
          <w:p w:rsidR="008B1D79" w:rsidRPr="008B1D79" w:rsidRDefault="008B1D79" w:rsidP="00126334">
            <w:pPr>
              <w:jc w:val="center"/>
              <w:cnfStyle w:val="000000100000"/>
              <w:rPr>
                <w:sz w:val="22"/>
                <w:szCs w:val="22"/>
              </w:rPr>
            </w:pPr>
            <w:r w:rsidRPr="008B1D79">
              <w:rPr>
                <w:sz w:val="22"/>
                <w:szCs w:val="22"/>
              </w:rPr>
              <w:t>0</w:t>
            </w:r>
          </w:p>
        </w:tc>
        <w:tc>
          <w:tcPr>
            <w:tcW w:w="964" w:type="dxa"/>
            <w:vAlign w:val="center"/>
          </w:tcPr>
          <w:p w:rsidR="008B1D79" w:rsidRPr="008B1D79" w:rsidRDefault="008B1D79" w:rsidP="00126334">
            <w:pPr>
              <w:jc w:val="center"/>
              <w:cnfStyle w:val="000000100000"/>
              <w:rPr>
                <w:sz w:val="22"/>
                <w:szCs w:val="22"/>
              </w:rPr>
            </w:pPr>
            <w:r w:rsidRPr="008B1D79">
              <w:rPr>
                <w:sz w:val="22"/>
                <w:szCs w:val="22"/>
              </w:rPr>
              <w:t>30-35</w:t>
            </w:r>
          </w:p>
        </w:tc>
        <w:tc>
          <w:tcPr>
            <w:tcW w:w="964" w:type="dxa"/>
            <w:vAlign w:val="center"/>
          </w:tcPr>
          <w:p w:rsidR="008B1D79" w:rsidRPr="008B1D79" w:rsidRDefault="008B1D79" w:rsidP="00126334">
            <w:pPr>
              <w:jc w:val="center"/>
              <w:cnfStyle w:val="000000100000"/>
              <w:rPr>
                <w:sz w:val="22"/>
                <w:szCs w:val="22"/>
              </w:rPr>
            </w:pPr>
            <w:r w:rsidRPr="008B1D79">
              <w:rPr>
                <w:sz w:val="22"/>
                <w:szCs w:val="22"/>
              </w:rPr>
              <w:t>50-60</w:t>
            </w:r>
          </w:p>
        </w:tc>
        <w:tc>
          <w:tcPr>
            <w:tcW w:w="964" w:type="dxa"/>
            <w:vAlign w:val="center"/>
          </w:tcPr>
          <w:p w:rsidR="008B1D79" w:rsidRPr="008B1D79" w:rsidRDefault="008B1D79" w:rsidP="00126334">
            <w:pPr>
              <w:jc w:val="center"/>
              <w:cnfStyle w:val="000000100000"/>
              <w:rPr>
                <w:sz w:val="22"/>
                <w:szCs w:val="22"/>
              </w:rPr>
            </w:pPr>
            <w:r w:rsidRPr="008B1D79">
              <w:rPr>
                <w:sz w:val="22"/>
                <w:szCs w:val="22"/>
              </w:rPr>
              <w:t>10</w:t>
            </w:r>
          </w:p>
        </w:tc>
        <w:tc>
          <w:tcPr>
            <w:tcW w:w="2126" w:type="dxa"/>
            <w:vAlign w:val="center"/>
          </w:tcPr>
          <w:p w:rsidR="008B1D79" w:rsidRPr="008B1D79" w:rsidRDefault="008B1D79" w:rsidP="00126334">
            <w:pPr>
              <w:autoSpaceDE w:val="0"/>
              <w:autoSpaceDN w:val="0"/>
              <w:adjustRightInd w:val="0"/>
              <w:cnfStyle w:val="000000100000"/>
              <w:rPr>
                <w:sz w:val="22"/>
                <w:szCs w:val="22"/>
              </w:rPr>
            </w:pPr>
            <w:r w:rsidRPr="008B1D79">
              <w:rPr>
                <w:sz w:val="22"/>
                <w:szCs w:val="22"/>
              </w:rPr>
              <w:t>Катар, Сингапур</w:t>
            </w:r>
          </w:p>
          <w:p w:rsidR="008B1D79" w:rsidRPr="008B1D79" w:rsidRDefault="008B1D79" w:rsidP="00126334">
            <w:pPr>
              <w:cnfStyle w:val="000000100000"/>
              <w:rPr>
                <w:sz w:val="22"/>
                <w:szCs w:val="22"/>
              </w:rPr>
            </w:pPr>
            <w:r w:rsidRPr="008B1D79">
              <w:rPr>
                <w:sz w:val="22"/>
                <w:szCs w:val="22"/>
              </w:rPr>
              <w:t>(«Темасек»)</w:t>
            </w:r>
          </w:p>
        </w:tc>
      </w:tr>
    </w:tbl>
    <w:p w:rsidR="008B1D79" w:rsidRPr="00126334" w:rsidRDefault="00126334" w:rsidP="00126334">
      <w:pPr>
        <w:spacing w:after="0" w:line="360" w:lineRule="auto"/>
        <w:jc w:val="both"/>
        <w:rPr>
          <w:rStyle w:val="af8"/>
        </w:rPr>
      </w:pPr>
      <w:r w:rsidRPr="00126334">
        <w:rPr>
          <w:rStyle w:val="af8"/>
        </w:rPr>
        <w:t>Источник: Лебединская Е. Роль нефтегазовых фондов в России</w:t>
      </w:r>
    </w:p>
    <w:p w:rsidR="00126334" w:rsidRDefault="00126334" w:rsidP="004D2E55">
      <w:pPr>
        <w:spacing w:after="0" w:line="360" w:lineRule="auto"/>
        <w:ind w:firstLine="851"/>
        <w:jc w:val="both"/>
        <w:rPr>
          <w:sz w:val="28"/>
          <w:szCs w:val="28"/>
        </w:rPr>
      </w:pPr>
      <w:r>
        <w:rPr>
          <w:sz w:val="28"/>
          <w:szCs w:val="28"/>
        </w:rPr>
        <w:t xml:space="preserve">Что касается России, на сегодняшний день политика размещения средств нефтегазовых фондов отличается крайней консервативностью. </w:t>
      </w:r>
      <w:r w:rsidR="00745CA9">
        <w:rPr>
          <w:sz w:val="28"/>
          <w:szCs w:val="28"/>
        </w:rPr>
        <w:t xml:space="preserve">Резервный фонд и основная часть Фонда национального благосостояния инвестируются только в государственные облигации стран с высоким суверенным рейтингом. Во многом такая ситуация объясняется тем фактом, что Минфину сложно сочетать правоустанавливающие функции с профессиональной работой на финансовых рынках. Именно поэтому создание специализированной организации по управлению финансовыми активами фондов с привлечением высококвалифицированных специалистов в области портфельных инвестиций, позволит повысить эффективность управления средствами фонда и увеличить их доходность за счет инвестирования в акции и инфраструктурные облигации.  </w:t>
      </w:r>
    </w:p>
    <w:p w:rsidR="008A7369" w:rsidRPr="00AA562D" w:rsidRDefault="008A7369" w:rsidP="004D2E55">
      <w:pPr>
        <w:spacing w:after="0" w:line="360" w:lineRule="auto"/>
        <w:ind w:firstLine="851"/>
        <w:jc w:val="both"/>
        <w:rPr>
          <w:sz w:val="28"/>
          <w:szCs w:val="28"/>
        </w:rPr>
      </w:pPr>
      <w:r w:rsidRPr="00AA562D">
        <w:rPr>
          <w:sz w:val="28"/>
          <w:szCs w:val="28"/>
        </w:rPr>
        <w:lastRenderedPageBreak/>
        <w:t xml:space="preserve">В целом же </w:t>
      </w:r>
      <w:r w:rsidR="004057F5">
        <w:rPr>
          <w:sz w:val="28"/>
          <w:szCs w:val="28"/>
        </w:rPr>
        <w:t xml:space="preserve">от </w:t>
      </w:r>
      <w:r w:rsidR="00D3464C">
        <w:rPr>
          <w:sz w:val="28"/>
          <w:szCs w:val="28"/>
        </w:rPr>
        <w:t>введения</w:t>
      </w:r>
      <w:r w:rsidRPr="00AA562D">
        <w:rPr>
          <w:sz w:val="28"/>
          <w:szCs w:val="28"/>
        </w:rPr>
        <w:t xml:space="preserve"> в действие новых бюджетных правил </w:t>
      </w:r>
      <w:r w:rsidR="004057F5">
        <w:rPr>
          <w:sz w:val="28"/>
          <w:szCs w:val="28"/>
        </w:rPr>
        <w:t xml:space="preserve">можно </w:t>
      </w:r>
      <w:r w:rsidR="00D3464C">
        <w:rPr>
          <w:sz w:val="28"/>
          <w:szCs w:val="28"/>
        </w:rPr>
        <w:t>ожидать обеспечения макроэкономической стабильности, долгосрочной устойчивости</w:t>
      </w:r>
      <w:r w:rsidRPr="00AA562D">
        <w:rPr>
          <w:sz w:val="28"/>
          <w:szCs w:val="28"/>
        </w:rPr>
        <w:t xml:space="preserve"> и сбалансированност</w:t>
      </w:r>
      <w:r w:rsidR="00D3464C">
        <w:rPr>
          <w:sz w:val="28"/>
          <w:szCs w:val="28"/>
        </w:rPr>
        <w:t>и</w:t>
      </w:r>
      <w:r w:rsidRPr="00AA562D">
        <w:rPr>
          <w:sz w:val="28"/>
          <w:szCs w:val="28"/>
        </w:rPr>
        <w:t xml:space="preserve"> бюджетной системы, защитит от колебаний в</w:t>
      </w:r>
      <w:r w:rsidR="00982E4A" w:rsidRPr="00AA562D">
        <w:rPr>
          <w:sz w:val="28"/>
          <w:szCs w:val="28"/>
        </w:rPr>
        <w:t>нешнеэк</w:t>
      </w:r>
      <w:r w:rsidR="002E7352" w:rsidRPr="00AA562D">
        <w:rPr>
          <w:sz w:val="28"/>
          <w:szCs w:val="28"/>
        </w:rPr>
        <w:t>ономической конъюнктуры. Однако</w:t>
      </w:r>
      <w:r w:rsidR="00982E4A" w:rsidRPr="00AA562D">
        <w:rPr>
          <w:sz w:val="28"/>
          <w:szCs w:val="28"/>
        </w:rPr>
        <w:t xml:space="preserve"> стоит отметить, что благотворное влияние новых бюджетных правил на бюджетную систему и экономику страны в целом</w:t>
      </w:r>
      <w:r w:rsidR="004D2E55" w:rsidRPr="00AA562D">
        <w:rPr>
          <w:sz w:val="28"/>
          <w:szCs w:val="28"/>
        </w:rPr>
        <w:t xml:space="preserve"> будет возможно только в том случае, если принятые правила будут исполняться последовательно и дополняться проведением политики по постепенной отмене неэффективных бюджетных расходов, повышению качества предоставления важнейших государственных услуг, а также сохранению и наращиванию инвестиционных программ, способствующих ускорению экономического роста. Кроме того, не следует снижать эффективность бюджетных правил путем регулярного принятия бюджетных попр</w:t>
      </w:r>
      <w:r w:rsidR="004E1758">
        <w:rPr>
          <w:sz w:val="28"/>
          <w:szCs w:val="28"/>
        </w:rPr>
        <w:t>авок. Только при этих условиях П</w:t>
      </w:r>
      <w:r w:rsidR="004D2E55" w:rsidRPr="00AA562D">
        <w:rPr>
          <w:sz w:val="28"/>
          <w:szCs w:val="28"/>
        </w:rPr>
        <w:t>равительство сможет накопить Резервный фонд и Фонд национального благосостояния в достаточном объеме и снизить степень зависимости российской экономики от внешнеэкономической конъюнктуры цен на сырьевые ресурсы.</w:t>
      </w:r>
    </w:p>
    <w:p w:rsidR="00790D42" w:rsidRPr="00AA562D" w:rsidRDefault="00790D42" w:rsidP="00E30F5A">
      <w:pPr>
        <w:spacing w:after="0" w:line="240" w:lineRule="auto"/>
        <w:jc w:val="both"/>
        <w:rPr>
          <w:sz w:val="28"/>
          <w:szCs w:val="28"/>
        </w:rPr>
      </w:pPr>
    </w:p>
    <w:p w:rsidR="00A11003" w:rsidRPr="00AA562D" w:rsidRDefault="00A11003">
      <w:pPr>
        <w:rPr>
          <w:sz w:val="28"/>
          <w:szCs w:val="28"/>
        </w:rPr>
      </w:pPr>
      <w:r w:rsidRPr="00AA562D">
        <w:rPr>
          <w:sz w:val="28"/>
          <w:szCs w:val="28"/>
        </w:rPr>
        <w:br w:type="page"/>
      </w:r>
    </w:p>
    <w:p w:rsidR="004271B9" w:rsidRPr="00AD79D2" w:rsidRDefault="00AD79D2" w:rsidP="00AD79D2">
      <w:pPr>
        <w:pStyle w:val="1"/>
      </w:pPr>
      <w:bookmarkStart w:id="20" w:name="_Toc356172741"/>
      <w:r>
        <w:lastRenderedPageBreak/>
        <w:t>Заключение</w:t>
      </w:r>
      <w:bookmarkEnd w:id="20"/>
    </w:p>
    <w:p w:rsidR="00C115EF" w:rsidRPr="00AA562D" w:rsidRDefault="006C4270" w:rsidP="00A11003">
      <w:pPr>
        <w:tabs>
          <w:tab w:val="left" w:pos="4965"/>
        </w:tabs>
        <w:spacing w:after="0" w:line="360" w:lineRule="auto"/>
        <w:ind w:firstLine="851"/>
        <w:jc w:val="both"/>
        <w:rPr>
          <w:sz w:val="28"/>
          <w:szCs w:val="28"/>
        </w:rPr>
      </w:pPr>
      <w:r w:rsidRPr="00AA562D">
        <w:rPr>
          <w:sz w:val="28"/>
          <w:szCs w:val="28"/>
        </w:rPr>
        <w:t>В качестве объекта исследования данной дипломной работы выступали нефтегазовые доходы федерального бюджета.  В процессе написания представленной работы было рассмотрено их влияние на бюджетную систему и экономику страны в целом</w:t>
      </w:r>
      <w:r w:rsidR="00C115EF" w:rsidRPr="00AA562D">
        <w:rPr>
          <w:sz w:val="28"/>
          <w:szCs w:val="28"/>
        </w:rPr>
        <w:t>,</w:t>
      </w:r>
      <w:r w:rsidRPr="00AA562D">
        <w:rPr>
          <w:sz w:val="28"/>
          <w:szCs w:val="28"/>
        </w:rPr>
        <w:t xml:space="preserve"> изучены </w:t>
      </w:r>
      <w:r w:rsidR="00C115EF" w:rsidRPr="00AA562D">
        <w:rPr>
          <w:sz w:val="28"/>
          <w:szCs w:val="28"/>
        </w:rPr>
        <w:t>основные механизмы минимизации рисков, возникающих в связи с высокой степенью зависимости доходов бюджета от сырьевого сектора, и стабилизации экономики, исследованы тенденции, протекавшие в сфере управления нефтегазовыми доходами федерального бюджета в Российской Федерации в период с 2000 года, проанализированы новые бюджетные правила в части учета нефтегазовых доходов, вступившие в силу с 2013 года, а также даны обоснование целесообразности их введения и оценка эффективности. По результатам проделанной работы можно сделать следующие выводы.</w:t>
      </w:r>
    </w:p>
    <w:p w:rsidR="00E56EDC" w:rsidRPr="00AA562D" w:rsidRDefault="00E56EDC" w:rsidP="0057390B">
      <w:pPr>
        <w:spacing w:after="0" w:line="360" w:lineRule="auto"/>
        <w:ind w:firstLine="851"/>
        <w:jc w:val="both"/>
        <w:rPr>
          <w:sz w:val="28"/>
          <w:szCs w:val="28"/>
        </w:rPr>
      </w:pPr>
      <w:r w:rsidRPr="00AA562D">
        <w:rPr>
          <w:sz w:val="28"/>
          <w:szCs w:val="28"/>
        </w:rPr>
        <w:t xml:space="preserve">Наличие в стране богатой ресурсной базы оказывает как положительное, так и отрицательное воздействие на экономику. </w:t>
      </w:r>
      <w:r w:rsidR="0057390B">
        <w:rPr>
          <w:sz w:val="28"/>
          <w:szCs w:val="28"/>
        </w:rPr>
        <w:t xml:space="preserve">Для того чтобы природные ресурсы стали </w:t>
      </w:r>
      <w:r w:rsidR="0057390B" w:rsidRPr="00AA562D">
        <w:rPr>
          <w:sz w:val="28"/>
          <w:szCs w:val="28"/>
        </w:rPr>
        <w:t>необходимым толчком для развития потенциала стран</w:t>
      </w:r>
      <w:r w:rsidR="0057390B">
        <w:rPr>
          <w:sz w:val="28"/>
          <w:szCs w:val="28"/>
        </w:rPr>
        <w:t>ы</w:t>
      </w:r>
      <w:r w:rsidR="0057390B" w:rsidRPr="00AA562D">
        <w:rPr>
          <w:sz w:val="28"/>
          <w:szCs w:val="28"/>
        </w:rPr>
        <w:t>, достижения высоких результатов социально-экономического развития и повышения уровня благосостояния населения</w:t>
      </w:r>
      <w:r w:rsidR="0057390B">
        <w:rPr>
          <w:sz w:val="28"/>
          <w:szCs w:val="28"/>
        </w:rPr>
        <w:t xml:space="preserve">, необходимо проводить сбалансированную государственную политику, направленную на </w:t>
      </w:r>
      <w:r w:rsidR="0057390B" w:rsidRPr="00AA562D">
        <w:rPr>
          <w:sz w:val="28"/>
          <w:szCs w:val="28"/>
        </w:rPr>
        <w:t>стабилизацию экономики, минимизацию указанных негативных эффектов от экспорта сырья, а также на снижение зависимости от нефтегазового сектора</w:t>
      </w:r>
      <w:r w:rsidR="0057390B">
        <w:rPr>
          <w:sz w:val="28"/>
          <w:szCs w:val="28"/>
        </w:rPr>
        <w:t xml:space="preserve">. </w:t>
      </w:r>
      <w:r w:rsidRPr="00AA562D">
        <w:rPr>
          <w:sz w:val="28"/>
          <w:szCs w:val="28"/>
        </w:rPr>
        <w:t>Основными приоритетами такой политики должны стать:</w:t>
      </w:r>
    </w:p>
    <w:p w:rsidR="00E56EDC" w:rsidRPr="00AA562D" w:rsidRDefault="00E56EDC" w:rsidP="00E56EDC">
      <w:pPr>
        <w:pStyle w:val="a8"/>
        <w:numPr>
          <w:ilvl w:val="0"/>
          <w:numId w:val="13"/>
        </w:numPr>
        <w:spacing w:after="0" w:line="360" w:lineRule="auto"/>
        <w:jc w:val="both"/>
        <w:rPr>
          <w:sz w:val="28"/>
          <w:szCs w:val="28"/>
        </w:rPr>
      </w:pPr>
      <w:r w:rsidRPr="00AA562D">
        <w:rPr>
          <w:sz w:val="28"/>
          <w:szCs w:val="28"/>
        </w:rPr>
        <w:t>установление пределов расходования доходов, полученных от сырьевого сектора, с учетом долгосрочной стратегии развития;</w:t>
      </w:r>
    </w:p>
    <w:p w:rsidR="00E56EDC" w:rsidRPr="00AA562D" w:rsidRDefault="00E56EDC" w:rsidP="00E56EDC">
      <w:pPr>
        <w:pStyle w:val="a8"/>
        <w:numPr>
          <w:ilvl w:val="0"/>
          <w:numId w:val="13"/>
        </w:numPr>
        <w:spacing w:after="0" w:line="360" w:lineRule="auto"/>
        <w:jc w:val="both"/>
        <w:rPr>
          <w:sz w:val="28"/>
          <w:szCs w:val="28"/>
        </w:rPr>
      </w:pPr>
      <w:r w:rsidRPr="00AA562D">
        <w:rPr>
          <w:sz w:val="28"/>
          <w:szCs w:val="28"/>
        </w:rPr>
        <w:t>аккумулирование и накопление сверхдоходов в периоды благоприятной внешнеэкономической конъюнктуры;</w:t>
      </w:r>
    </w:p>
    <w:p w:rsidR="00E56EDC" w:rsidRPr="00AA562D" w:rsidRDefault="00E56EDC" w:rsidP="00E56EDC">
      <w:pPr>
        <w:pStyle w:val="a8"/>
        <w:numPr>
          <w:ilvl w:val="0"/>
          <w:numId w:val="13"/>
        </w:numPr>
        <w:spacing w:after="0" w:line="360" w:lineRule="auto"/>
        <w:jc w:val="both"/>
        <w:rPr>
          <w:sz w:val="28"/>
          <w:szCs w:val="28"/>
        </w:rPr>
      </w:pPr>
      <w:r w:rsidRPr="00AA562D">
        <w:rPr>
          <w:sz w:val="28"/>
          <w:szCs w:val="28"/>
        </w:rPr>
        <w:lastRenderedPageBreak/>
        <w:t>использование накопленных резервов для финансирования расходных обязательств только в периоды неблагоприятной экономической ситуации;</w:t>
      </w:r>
    </w:p>
    <w:p w:rsidR="00E56EDC" w:rsidRPr="00AA562D" w:rsidRDefault="00E56EDC" w:rsidP="00E56EDC">
      <w:pPr>
        <w:pStyle w:val="a8"/>
        <w:numPr>
          <w:ilvl w:val="0"/>
          <w:numId w:val="13"/>
        </w:numPr>
        <w:spacing w:after="0" w:line="360" w:lineRule="auto"/>
        <w:jc w:val="both"/>
        <w:rPr>
          <w:sz w:val="28"/>
          <w:szCs w:val="28"/>
        </w:rPr>
      </w:pPr>
      <w:r w:rsidRPr="00AA562D">
        <w:rPr>
          <w:sz w:val="28"/>
          <w:szCs w:val="28"/>
        </w:rPr>
        <w:t>инвестирование сверхдоходов от нефтегазового сектора с целью диверсификации экономики и поддержания высокого уровня социального благосостояния граждан;</w:t>
      </w:r>
    </w:p>
    <w:p w:rsidR="00E56EDC" w:rsidRPr="00AA562D" w:rsidRDefault="00E56EDC" w:rsidP="00E56EDC">
      <w:pPr>
        <w:pStyle w:val="a8"/>
        <w:numPr>
          <w:ilvl w:val="0"/>
          <w:numId w:val="13"/>
        </w:numPr>
        <w:spacing w:after="0" w:line="360" w:lineRule="auto"/>
        <w:jc w:val="both"/>
        <w:rPr>
          <w:sz w:val="28"/>
          <w:szCs w:val="28"/>
        </w:rPr>
      </w:pPr>
      <w:r w:rsidRPr="00AA562D">
        <w:rPr>
          <w:sz w:val="28"/>
          <w:szCs w:val="28"/>
        </w:rPr>
        <w:t>предоставление достоверной информации об источниках нефтегазовой прибыли, ожидаемых доходах от продажи сырья, а также о направлениях использования полученных денежных средств, с целью повышения качества управления и борьбы с коррупцией.</w:t>
      </w:r>
    </w:p>
    <w:p w:rsidR="00E56EDC" w:rsidRPr="00AA562D" w:rsidRDefault="00E56EDC" w:rsidP="00E56EDC">
      <w:pPr>
        <w:spacing w:after="0" w:line="360" w:lineRule="auto"/>
        <w:ind w:firstLine="851"/>
        <w:jc w:val="both"/>
        <w:rPr>
          <w:sz w:val="28"/>
          <w:szCs w:val="28"/>
        </w:rPr>
      </w:pPr>
      <w:r w:rsidRPr="00AA562D">
        <w:rPr>
          <w:sz w:val="28"/>
          <w:szCs w:val="28"/>
        </w:rPr>
        <w:t>Говоря о ситуации в Российской Федерации, стоит отметить, что общей предпосылкой для установления специальных правил управления нефтегазовыми доходами служит сочетание важной роли, которую играет в российской экономике добыча и экспорт углеводородов с непредсказуемыми колебаниями их цен.</w:t>
      </w:r>
    </w:p>
    <w:p w:rsidR="0057390B" w:rsidRDefault="0057390B" w:rsidP="00E56EDC">
      <w:pPr>
        <w:spacing w:after="0" w:line="360" w:lineRule="auto"/>
        <w:ind w:firstLine="851"/>
        <w:jc w:val="both"/>
        <w:rPr>
          <w:sz w:val="28"/>
          <w:szCs w:val="28"/>
        </w:rPr>
      </w:pPr>
      <w:r>
        <w:rPr>
          <w:sz w:val="28"/>
          <w:szCs w:val="28"/>
        </w:rPr>
        <w:t>С</w:t>
      </w:r>
      <w:r w:rsidRPr="00AA562D">
        <w:rPr>
          <w:sz w:val="28"/>
          <w:szCs w:val="28"/>
        </w:rPr>
        <w:t>табилизационные механизмы антициклической политики</w:t>
      </w:r>
      <w:r>
        <w:rPr>
          <w:sz w:val="28"/>
          <w:szCs w:val="28"/>
        </w:rPr>
        <w:t xml:space="preserve">, направленные на снижение зависимости </w:t>
      </w:r>
      <w:r w:rsidR="00054E95">
        <w:rPr>
          <w:sz w:val="28"/>
          <w:szCs w:val="28"/>
        </w:rPr>
        <w:t xml:space="preserve">российской </w:t>
      </w:r>
      <w:r>
        <w:rPr>
          <w:sz w:val="28"/>
          <w:szCs w:val="28"/>
        </w:rPr>
        <w:t>экономики и бюджетной системы от сырьевого сектора</w:t>
      </w:r>
      <w:r w:rsidR="00054E95">
        <w:rPr>
          <w:sz w:val="28"/>
          <w:szCs w:val="28"/>
        </w:rPr>
        <w:t>,</w:t>
      </w:r>
      <w:r>
        <w:rPr>
          <w:sz w:val="28"/>
          <w:szCs w:val="28"/>
        </w:rPr>
        <w:t xml:space="preserve"> </w:t>
      </w:r>
      <w:r w:rsidR="00054E95">
        <w:rPr>
          <w:sz w:val="28"/>
          <w:szCs w:val="28"/>
        </w:rPr>
        <w:t xml:space="preserve">претерпели ряд изменений за последнее десятилетие. </w:t>
      </w:r>
    </w:p>
    <w:p w:rsidR="00E56EDC" w:rsidRDefault="00E56EDC" w:rsidP="00E56EDC">
      <w:pPr>
        <w:spacing w:after="0" w:line="360" w:lineRule="auto"/>
        <w:ind w:firstLine="851"/>
        <w:jc w:val="both"/>
        <w:rPr>
          <w:sz w:val="28"/>
          <w:szCs w:val="28"/>
        </w:rPr>
      </w:pPr>
      <w:r w:rsidRPr="00AA562D">
        <w:rPr>
          <w:sz w:val="28"/>
          <w:szCs w:val="28"/>
        </w:rPr>
        <w:t>В основу новых бюджетных правил</w:t>
      </w:r>
      <w:r w:rsidR="00054E95">
        <w:rPr>
          <w:sz w:val="28"/>
          <w:szCs w:val="28"/>
        </w:rPr>
        <w:t>, вступивших в действие с 2013 года,</w:t>
      </w:r>
      <w:r w:rsidRPr="00AA562D">
        <w:rPr>
          <w:sz w:val="28"/>
          <w:szCs w:val="28"/>
        </w:rPr>
        <w:t xml:space="preserve"> заложена концепция прогнозирования нефтегазовых доходов федерального бюджета на основании базовой цены на нефть марки </w:t>
      </w:r>
      <w:r w:rsidRPr="00AA562D">
        <w:rPr>
          <w:sz w:val="28"/>
          <w:szCs w:val="28"/>
          <w:lang w:val="en-US"/>
        </w:rPr>
        <w:t>Urals</w:t>
      </w:r>
      <w:r w:rsidRPr="00AA562D">
        <w:rPr>
          <w:sz w:val="28"/>
          <w:szCs w:val="28"/>
        </w:rPr>
        <w:t xml:space="preserve">, которая определяется как скользящая средняя за последние пять лет с ежегодным увеличение расчетного периода на 1 год до достижения 10-летнего периода. При этом предельный объем расходования средств федерального бюджета на очередной финансовый год определяется как расчетная величина доходов при базовой цене на нефть, увеличенная на 1% ВВП. </w:t>
      </w:r>
      <w:r w:rsidR="006B3036">
        <w:rPr>
          <w:sz w:val="28"/>
          <w:szCs w:val="28"/>
        </w:rPr>
        <w:t xml:space="preserve">Предполагается также сбережение дополнительных </w:t>
      </w:r>
      <w:r w:rsidR="006B3036">
        <w:rPr>
          <w:sz w:val="28"/>
          <w:szCs w:val="28"/>
        </w:rPr>
        <w:lastRenderedPageBreak/>
        <w:t>нефтегазовых доходов в периоды благоприятной внешнеэкономической конъюнктуры в Резервном фонде и  Фонде национального благосостояния и их инвестирование в инфраструктурные проекты.</w:t>
      </w:r>
    </w:p>
    <w:p w:rsidR="0066661A" w:rsidRPr="00AA562D" w:rsidRDefault="0066661A" w:rsidP="00E56EDC">
      <w:pPr>
        <w:spacing w:after="0" w:line="360" w:lineRule="auto"/>
        <w:ind w:firstLine="851"/>
        <w:jc w:val="both"/>
        <w:rPr>
          <w:sz w:val="28"/>
          <w:szCs w:val="28"/>
        </w:rPr>
      </w:pPr>
      <w:r>
        <w:rPr>
          <w:rFonts w:eastAsia="Arial Unicode MS"/>
          <w:sz w:val="28"/>
          <w:szCs w:val="28"/>
        </w:rPr>
        <w:t>П</w:t>
      </w:r>
      <w:r w:rsidRPr="00AA562D">
        <w:rPr>
          <w:rFonts w:eastAsia="Arial Unicode MS"/>
          <w:sz w:val="28"/>
          <w:szCs w:val="28"/>
        </w:rPr>
        <w:t>ринятие бюджетных правил и установление «потолков» расходов будут способствовать переходу от экстенсивной политики государственных расходов к интенсивной, то есть к повышению качества упр</w:t>
      </w:r>
      <w:r>
        <w:rPr>
          <w:rFonts w:eastAsia="Arial Unicode MS"/>
          <w:sz w:val="28"/>
          <w:szCs w:val="28"/>
        </w:rPr>
        <w:t>авления общественными финансами. Инвестирование нефтегазовых доходов в инфраструктурные и иные приоритетные проекты должно стать толчком для диверсификации экономики и экономического роста.</w:t>
      </w:r>
    </w:p>
    <w:p w:rsidR="00054E95" w:rsidRDefault="0066661A" w:rsidP="00E56EDC">
      <w:pPr>
        <w:spacing w:after="0" w:line="360" w:lineRule="auto"/>
        <w:ind w:firstLine="851"/>
        <w:jc w:val="both"/>
        <w:rPr>
          <w:sz w:val="28"/>
          <w:szCs w:val="28"/>
        </w:rPr>
      </w:pPr>
      <w:r>
        <w:rPr>
          <w:sz w:val="28"/>
          <w:szCs w:val="28"/>
        </w:rPr>
        <w:t>В целом, соблюдение новых бюджетных</w:t>
      </w:r>
      <w:r w:rsidR="00E56EDC" w:rsidRPr="00AA562D">
        <w:rPr>
          <w:sz w:val="28"/>
          <w:szCs w:val="28"/>
        </w:rPr>
        <w:t xml:space="preserve"> правил </w:t>
      </w:r>
      <w:r w:rsidR="00054E95">
        <w:rPr>
          <w:sz w:val="28"/>
          <w:szCs w:val="28"/>
        </w:rPr>
        <w:t>должно стать эффективным механизмом по снижению зависимости</w:t>
      </w:r>
      <w:r w:rsidR="00E56EDC" w:rsidRPr="00AA562D">
        <w:rPr>
          <w:sz w:val="28"/>
          <w:szCs w:val="28"/>
        </w:rPr>
        <w:t xml:space="preserve"> федерального бюджета от внешнеэко</w:t>
      </w:r>
      <w:r w:rsidR="00054E95">
        <w:rPr>
          <w:sz w:val="28"/>
          <w:szCs w:val="28"/>
        </w:rPr>
        <w:t>номической конъюнктуры, повышению устойчивости и сбалансированности бюджетной системы, сокращению</w:t>
      </w:r>
      <w:r w:rsidR="00E56EDC" w:rsidRPr="00AA562D">
        <w:rPr>
          <w:sz w:val="28"/>
          <w:szCs w:val="28"/>
        </w:rPr>
        <w:t xml:space="preserve"> дефицит</w:t>
      </w:r>
      <w:r w:rsidR="00054E95">
        <w:rPr>
          <w:sz w:val="28"/>
          <w:szCs w:val="28"/>
        </w:rPr>
        <w:t>а</w:t>
      </w:r>
      <w:r w:rsidR="00E56EDC" w:rsidRPr="00AA562D">
        <w:rPr>
          <w:sz w:val="28"/>
          <w:szCs w:val="28"/>
        </w:rPr>
        <w:t xml:space="preserve"> федерального бюд</w:t>
      </w:r>
      <w:r w:rsidR="00054E95">
        <w:rPr>
          <w:sz w:val="28"/>
          <w:szCs w:val="28"/>
        </w:rPr>
        <w:t>жета, в том числе ненефтегазового</w:t>
      </w:r>
      <w:r>
        <w:rPr>
          <w:sz w:val="28"/>
          <w:szCs w:val="28"/>
        </w:rPr>
        <w:t>, обеспечению макроэкономической стабильности и повышению инвестиционной привлекательности российской экономики.</w:t>
      </w:r>
    </w:p>
    <w:p w:rsidR="00E56EDC" w:rsidRPr="00AA562D" w:rsidRDefault="00E56EDC" w:rsidP="00A11003">
      <w:pPr>
        <w:tabs>
          <w:tab w:val="left" w:pos="4965"/>
        </w:tabs>
        <w:spacing w:after="0" w:line="360" w:lineRule="auto"/>
        <w:ind w:firstLine="851"/>
        <w:jc w:val="both"/>
        <w:rPr>
          <w:sz w:val="28"/>
          <w:szCs w:val="28"/>
        </w:rPr>
      </w:pPr>
    </w:p>
    <w:p w:rsidR="00E56EDC" w:rsidRPr="00985D29" w:rsidRDefault="008A7369" w:rsidP="00AD79D2">
      <w:pPr>
        <w:pStyle w:val="1"/>
      </w:pPr>
      <w:r w:rsidRPr="00AA562D">
        <w:rPr>
          <w:sz w:val="28"/>
          <w:szCs w:val="28"/>
        </w:rPr>
        <w:tab/>
      </w:r>
      <w:r w:rsidRPr="00AA562D">
        <w:rPr>
          <w:sz w:val="28"/>
          <w:szCs w:val="28"/>
        </w:rPr>
        <w:tab/>
      </w:r>
    </w:p>
    <w:p w:rsidR="00E56EDC" w:rsidRPr="00985D29" w:rsidRDefault="00E56EDC" w:rsidP="00E56EDC">
      <w:pPr>
        <w:rPr>
          <w:rFonts w:eastAsiaTheme="majorEastAsia" w:cstheme="majorBidi"/>
          <w:sz w:val="26"/>
          <w:szCs w:val="26"/>
        </w:rPr>
      </w:pPr>
      <w:r w:rsidRPr="00985D29">
        <w:rPr>
          <w:sz w:val="26"/>
          <w:szCs w:val="26"/>
        </w:rPr>
        <w:br w:type="page"/>
      </w:r>
    </w:p>
    <w:p w:rsidR="002324F4" w:rsidRPr="00AD79D2" w:rsidRDefault="00AD79D2" w:rsidP="00AD79D2">
      <w:pPr>
        <w:pStyle w:val="1"/>
      </w:pPr>
      <w:bookmarkStart w:id="21" w:name="_Toc356172742"/>
      <w:r>
        <w:lastRenderedPageBreak/>
        <w:t>Библиографический список</w:t>
      </w:r>
      <w:r w:rsidR="002324F4" w:rsidRPr="00AD79D2">
        <w:t>:</w:t>
      </w:r>
      <w:bookmarkEnd w:id="21"/>
    </w:p>
    <w:p w:rsidR="00242EAE" w:rsidRPr="002A310B" w:rsidRDefault="00242EAE" w:rsidP="00242EAE">
      <w:pPr>
        <w:numPr>
          <w:ilvl w:val="0"/>
          <w:numId w:val="1"/>
        </w:numPr>
        <w:tabs>
          <w:tab w:val="num" w:pos="840"/>
        </w:tabs>
        <w:spacing w:after="0" w:line="360" w:lineRule="auto"/>
        <w:ind w:left="426" w:hanging="426"/>
        <w:jc w:val="both"/>
        <w:rPr>
          <w:sz w:val="28"/>
          <w:szCs w:val="28"/>
        </w:rPr>
      </w:pPr>
      <w:r w:rsidRPr="002A310B">
        <w:rPr>
          <w:sz w:val="28"/>
          <w:szCs w:val="28"/>
        </w:rPr>
        <w:t xml:space="preserve">Бюджетный Кодекс Российской Федерации. </w:t>
      </w:r>
    </w:p>
    <w:p w:rsidR="00A730D3" w:rsidRPr="00A730D3" w:rsidRDefault="00A730D3" w:rsidP="0051540B">
      <w:pPr>
        <w:numPr>
          <w:ilvl w:val="0"/>
          <w:numId w:val="1"/>
        </w:numPr>
        <w:tabs>
          <w:tab w:val="num" w:pos="840"/>
        </w:tabs>
        <w:spacing w:after="0" w:line="360" w:lineRule="auto"/>
        <w:ind w:left="426" w:hanging="426"/>
        <w:jc w:val="both"/>
        <w:rPr>
          <w:sz w:val="28"/>
          <w:szCs w:val="28"/>
        </w:rPr>
      </w:pPr>
      <w:r w:rsidRPr="009C2687">
        <w:rPr>
          <w:sz w:val="28"/>
          <w:szCs w:val="28"/>
        </w:rPr>
        <w:t>Федеральный закон от 19.06.2001 г. № 80-ФЗ «Об исполнении федерального бюджета за 1999 год»</w:t>
      </w:r>
    </w:p>
    <w:p w:rsidR="00A730D3" w:rsidRPr="005D5789" w:rsidRDefault="005D5789" w:rsidP="0051540B">
      <w:pPr>
        <w:numPr>
          <w:ilvl w:val="0"/>
          <w:numId w:val="1"/>
        </w:numPr>
        <w:tabs>
          <w:tab w:val="num" w:pos="840"/>
        </w:tabs>
        <w:spacing w:after="0" w:line="360" w:lineRule="auto"/>
        <w:ind w:left="426" w:hanging="426"/>
        <w:jc w:val="both"/>
        <w:rPr>
          <w:sz w:val="28"/>
          <w:szCs w:val="28"/>
        </w:rPr>
      </w:pPr>
      <w:r w:rsidRPr="009C2687">
        <w:rPr>
          <w:sz w:val="28"/>
          <w:szCs w:val="28"/>
        </w:rPr>
        <w:t>Федеральный закон от 23.04.2002 г. № 39-ФЗ «Об исполнении федерального бюджета за 2000 год»</w:t>
      </w:r>
    </w:p>
    <w:p w:rsidR="005D5789" w:rsidRPr="005D5789" w:rsidRDefault="005D5789" w:rsidP="0051540B">
      <w:pPr>
        <w:numPr>
          <w:ilvl w:val="0"/>
          <w:numId w:val="1"/>
        </w:numPr>
        <w:tabs>
          <w:tab w:val="num" w:pos="840"/>
        </w:tabs>
        <w:spacing w:after="0" w:line="360" w:lineRule="auto"/>
        <w:ind w:left="426" w:hanging="426"/>
        <w:jc w:val="both"/>
        <w:rPr>
          <w:sz w:val="28"/>
          <w:szCs w:val="28"/>
        </w:rPr>
      </w:pPr>
      <w:r w:rsidRPr="009C2687">
        <w:rPr>
          <w:sz w:val="28"/>
          <w:szCs w:val="28"/>
        </w:rPr>
        <w:t>Федеральный закон от 7.06.2003 г. № 67-ФЗ «Об исполнении федерального бюджета за 2001 год»</w:t>
      </w:r>
    </w:p>
    <w:p w:rsidR="005D5789" w:rsidRPr="005D5789" w:rsidRDefault="005D5789" w:rsidP="0051540B">
      <w:pPr>
        <w:numPr>
          <w:ilvl w:val="0"/>
          <w:numId w:val="1"/>
        </w:numPr>
        <w:tabs>
          <w:tab w:val="num" w:pos="840"/>
        </w:tabs>
        <w:spacing w:after="0" w:line="360" w:lineRule="auto"/>
        <w:ind w:left="426" w:hanging="426"/>
        <w:jc w:val="both"/>
        <w:rPr>
          <w:sz w:val="28"/>
          <w:szCs w:val="28"/>
        </w:rPr>
      </w:pPr>
      <w:r w:rsidRPr="009C2687">
        <w:rPr>
          <w:sz w:val="28"/>
          <w:szCs w:val="28"/>
        </w:rPr>
        <w:t>Федеральный закон от 08.05.2004 г. № 35-ФЗ «Об исполнении федерального бюджета за 2002 год»</w:t>
      </w:r>
    </w:p>
    <w:p w:rsidR="005D5789" w:rsidRPr="005D5789" w:rsidRDefault="005D5789" w:rsidP="0051540B">
      <w:pPr>
        <w:numPr>
          <w:ilvl w:val="0"/>
          <w:numId w:val="1"/>
        </w:numPr>
        <w:tabs>
          <w:tab w:val="num" w:pos="840"/>
        </w:tabs>
        <w:spacing w:after="0" w:line="360" w:lineRule="auto"/>
        <w:ind w:left="426" w:hanging="426"/>
        <w:jc w:val="both"/>
        <w:rPr>
          <w:sz w:val="28"/>
          <w:szCs w:val="28"/>
        </w:rPr>
      </w:pPr>
      <w:r w:rsidRPr="009C2687">
        <w:rPr>
          <w:sz w:val="28"/>
          <w:szCs w:val="28"/>
        </w:rPr>
        <w:t>Федеральный закон от 04.04.2005 г. № 30-ФЗ «Об исполнении федерального бюджета за 2003 год»</w:t>
      </w:r>
    </w:p>
    <w:p w:rsidR="005D5789" w:rsidRPr="005D5789" w:rsidRDefault="005D5789" w:rsidP="0051540B">
      <w:pPr>
        <w:numPr>
          <w:ilvl w:val="0"/>
          <w:numId w:val="1"/>
        </w:numPr>
        <w:tabs>
          <w:tab w:val="num" w:pos="840"/>
        </w:tabs>
        <w:spacing w:after="0" w:line="360" w:lineRule="auto"/>
        <w:ind w:left="426" w:hanging="426"/>
        <w:jc w:val="both"/>
        <w:rPr>
          <w:sz w:val="28"/>
          <w:szCs w:val="28"/>
        </w:rPr>
      </w:pPr>
      <w:r w:rsidRPr="009C2687">
        <w:rPr>
          <w:sz w:val="28"/>
          <w:szCs w:val="28"/>
        </w:rPr>
        <w:t>Федеральный закон от 15.04.2006 г. № 52-ФЗ «Об исполнении федерального бюджета за 2004 год»</w:t>
      </w:r>
    </w:p>
    <w:p w:rsidR="005D5789" w:rsidRDefault="005D5789" w:rsidP="0051540B">
      <w:pPr>
        <w:numPr>
          <w:ilvl w:val="0"/>
          <w:numId w:val="1"/>
        </w:numPr>
        <w:tabs>
          <w:tab w:val="num" w:pos="840"/>
        </w:tabs>
        <w:spacing w:after="0" w:line="360" w:lineRule="auto"/>
        <w:ind w:left="426" w:hanging="426"/>
        <w:jc w:val="both"/>
        <w:rPr>
          <w:sz w:val="28"/>
          <w:szCs w:val="28"/>
        </w:rPr>
      </w:pPr>
      <w:r w:rsidRPr="009C2687">
        <w:rPr>
          <w:sz w:val="28"/>
          <w:szCs w:val="28"/>
        </w:rPr>
        <w:t>Федеральный закон РФ от 9.04.2007 г. № 41-ФЗ «Об исполнении федерального бюджета за 2005 год»</w:t>
      </w:r>
    </w:p>
    <w:p w:rsidR="0051540B" w:rsidRDefault="0051540B" w:rsidP="0051540B">
      <w:pPr>
        <w:numPr>
          <w:ilvl w:val="0"/>
          <w:numId w:val="1"/>
        </w:numPr>
        <w:tabs>
          <w:tab w:val="num" w:pos="840"/>
        </w:tabs>
        <w:spacing w:after="0" w:line="360" w:lineRule="auto"/>
        <w:ind w:left="426" w:hanging="426"/>
        <w:jc w:val="both"/>
        <w:rPr>
          <w:sz w:val="28"/>
          <w:szCs w:val="28"/>
        </w:rPr>
      </w:pPr>
      <w:r w:rsidRPr="00AA562D">
        <w:rPr>
          <w:sz w:val="28"/>
          <w:szCs w:val="28"/>
        </w:rPr>
        <w:t>Федераль</w:t>
      </w:r>
      <w:r w:rsidR="00696016">
        <w:rPr>
          <w:sz w:val="28"/>
          <w:szCs w:val="28"/>
        </w:rPr>
        <w:t>ный закон от 26.04.</w:t>
      </w:r>
      <w:r>
        <w:rPr>
          <w:sz w:val="28"/>
          <w:szCs w:val="28"/>
        </w:rPr>
        <w:t>2007 г. №</w:t>
      </w:r>
      <w:r w:rsidRPr="00AA562D">
        <w:rPr>
          <w:sz w:val="28"/>
          <w:szCs w:val="28"/>
        </w:rPr>
        <w:t>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p>
    <w:p w:rsidR="005D5789" w:rsidRPr="0051540B" w:rsidRDefault="005D5789" w:rsidP="0051540B">
      <w:pPr>
        <w:numPr>
          <w:ilvl w:val="0"/>
          <w:numId w:val="1"/>
        </w:numPr>
        <w:tabs>
          <w:tab w:val="num" w:pos="840"/>
        </w:tabs>
        <w:spacing w:after="0" w:line="360" w:lineRule="auto"/>
        <w:ind w:left="426" w:hanging="426"/>
        <w:jc w:val="both"/>
        <w:rPr>
          <w:sz w:val="28"/>
          <w:szCs w:val="28"/>
        </w:rPr>
      </w:pPr>
      <w:r w:rsidRPr="009C2687">
        <w:rPr>
          <w:sz w:val="28"/>
          <w:szCs w:val="28"/>
        </w:rPr>
        <w:t>Федеральный закон от 3.04.2008 г. № 36-ФЗ «Об исполнении федерального бюджета за 2006 год»</w:t>
      </w:r>
    </w:p>
    <w:p w:rsidR="0051540B" w:rsidRDefault="00696016" w:rsidP="0051540B">
      <w:pPr>
        <w:numPr>
          <w:ilvl w:val="0"/>
          <w:numId w:val="1"/>
        </w:numPr>
        <w:tabs>
          <w:tab w:val="num" w:pos="840"/>
        </w:tabs>
        <w:spacing w:after="0" w:line="360" w:lineRule="auto"/>
        <w:ind w:left="426" w:hanging="426"/>
        <w:jc w:val="both"/>
        <w:rPr>
          <w:sz w:val="28"/>
          <w:szCs w:val="28"/>
        </w:rPr>
      </w:pPr>
      <w:r>
        <w:rPr>
          <w:sz w:val="28"/>
          <w:szCs w:val="28"/>
        </w:rPr>
        <w:t>Федеральный закон от 30.08.</w:t>
      </w:r>
      <w:smartTag w:uri="urn:schemas-microsoft-com:office:smarttags" w:element="metricconverter">
        <w:smartTagPr>
          <w:attr w:name="ProductID" w:val="2008 г"/>
        </w:smartTagPr>
        <w:r w:rsidR="0051540B" w:rsidRPr="00AA562D">
          <w:rPr>
            <w:sz w:val="28"/>
            <w:szCs w:val="28"/>
          </w:rPr>
          <w:t>2008 г</w:t>
        </w:r>
      </w:smartTag>
      <w:r w:rsidR="0051540B">
        <w:rPr>
          <w:sz w:val="28"/>
          <w:szCs w:val="28"/>
        </w:rPr>
        <w:t>. №</w:t>
      </w:r>
      <w:r w:rsidR="0051540B" w:rsidRPr="00AA562D">
        <w:rPr>
          <w:sz w:val="28"/>
          <w:szCs w:val="28"/>
        </w:rPr>
        <w:t xml:space="preserve">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5D5789" w:rsidRPr="005D5789" w:rsidRDefault="005D5789" w:rsidP="0051540B">
      <w:pPr>
        <w:numPr>
          <w:ilvl w:val="0"/>
          <w:numId w:val="1"/>
        </w:numPr>
        <w:tabs>
          <w:tab w:val="num" w:pos="840"/>
        </w:tabs>
        <w:spacing w:after="0" w:line="360" w:lineRule="auto"/>
        <w:ind w:left="426" w:hanging="426"/>
        <w:jc w:val="both"/>
        <w:rPr>
          <w:sz w:val="28"/>
          <w:szCs w:val="28"/>
        </w:rPr>
      </w:pPr>
      <w:r w:rsidRPr="009C2687">
        <w:rPr>
          <w:sz w:val="28"/>
          <w:szCs w:val="28"/>
        </w:rPr>
        <w:t>Федеральный закон от 3.12.2008 г. № 228-ФЗ «Об исполнении федерального бюджета за 2007 год»</w:t>
      </w:r>
    </w:p>
    <w:p w:rsidR="005D5789" w:rsidRPr="00AA562D" w:rsidRDefault="005D5789" w:rsidP="0051540B">
      <w:pPr>
        <w:numPr>
          <w:ilvl w:val="0"/>
          <w:numId w:val="1"/>
        </w:numPr>
        <w:tabs>
          <w:tab w:val="num" w:pos="840"/>
        </w:tabs>
        <w:spacing w:after="0" w:line="360" w:lineRule="auto"/>
        <w:ind w:left="426" w:hanging="426"/>
        <w:jc w:val="both"/>
        <w:rPr>
          <w:sz w:val="28"/>
          <w:szCs w:val="28"/>
        </w:rPr>
      </w:pPr>
      <w:r w:rsidRPr="009C2687">
        <w:rPr>
          <w:sz w:val="28"/>
          <w:szCs w:val="28"/>
        </w:rPr>
        <w:lastRenderedPageBreak/>
        <w:t>Федеральный закон от 28.12.2009 г. № 382-ФЗ «Об исполнении федерального бюджета за 2008 год»</w:t>
      </w:r>
    </w:p>
    <w:p w:rsidR="00B61643" w:rsidRDefault="0051540B" w:rsidP="00B61643">
      <w:pPr>
        <w:numPr>
          <w:ilvl w:val="0"/>
          <w:numId w:val="1"/>
        </w:numPr>
        <w:tabs>
          <w:tab w:val="num" w:pos="840"/>
        </w:tabs>
        <w:spacing w:after="0" w:line="360" w:lineRule="auto"/>
        <w:ind w:left="426" w:hanging="426"/>
        <w:jc w:val="both"/>
        <w:rPr>
          <w:sz w:val="28"/>
          <w:szCs w:val="28"/>
        </w:rPr>
      </w:pPr>
      <w:r w:rsidRPr="00AA562D">
        <w:rPr>
          <w:sz w:val="28"/>
          <w:szCs w:val="28"/>
        </w:rPr>
        <w:t>Федеральны</w:t>
      </w:r>
      <w:r w:rsidR="00696016">
        <w:rPr>
          <w:sz w:val="28"/>
          <w:szCs w:val="28"/>
        </w:rPr>
        <w:t>й закон от 30.09.</w:t>
      </w:r>
      <w:r>
        <w:rPr>
          <w:sz w:val="28"/>
          <w:szCs w:val="28"/>
        </w:rPr>
        <w:t>2010 г. №</w:t>
      </w:r>
      <w:r w:rsidRPr="00AA562D">
        <w:rPr>
          <w:sz w:val="28"/>
          <w:szCs w:val="28"/>
        </w:rPr>
        <w:t xml:space="preserve"> 245-ФЗ «О внесении изменений в Бюджетный кодекс Российской Федерации и иные законодательные акты Российской Федерации»</w:t>
      </w:r>
    </w:p>
    <w:p w:rsidR="005D5789" w:rsidRPr="005D5789" w:rsidRDefault="005D5789" w:rsidP="00B61643">
      <w:pPr>
        <w:numPr>
          <w:ilvl w:val="0"/>
          <w:numId w:val="1"/>
        </w:numPr>
        <w:tabs>
          <w:tab w:val="num" w:pos="840"/>
        </w:tabs>
        <w:spacing w:after="0" w:line="360" w:lineRule="auto"/>
        <w:ind w:left="426" w:hanging="426"/>
        <w:jc w:val="both"/>
        <w:rPr>
          <w:sz w:val="28"/>
          <w:szCs w:val="28"/>
        </w:rPr>
      </w:pPr>
      <w:r w:rsidRPr="009C2687">
        <w:rPr>
          <w:sz w:val="28"/>
          <w:szCs w:val="28"/>
        </w:rPr>
        <w:t>Федеральный закон от 03.10.2010 г. № 255-ФЗ «Об исполнении федерального бюджета за 2009 год»</w:t>
      </w:r>
    </w:p>
    <w:p w:rsidR="005D5789" w:rsidRDefault="005D5789" w:rsidP="00B61643">
      <w:pPr>
        <w:numPr>
          <w:ilvl w:val="0"/>
          <w:numId w:val="1"/>
        </w:numPr>
        <w:tabs>
          <w:tab w:val="num" w:pos="840"/>
        </w:tabs>
        <w:spacing w:after="0" w:line="360" w:lineRule="auto"/>
        <w:ind w:left="426" w:hanging="426"/>
        <w:jc w:val="both"/>
        <w:rPr>
          <w:sz w:val="28"/>
          <w:szCs w:val="28"/>
        </w:rPr>
      </w:pPr>
      <w:r w:rsidRPr="009C2687">
        <w:rPr>
          <w:sz w:val="28"/>
          <w:szCs w:val="28"/>
        </w:rPr>
        <w:t>Федеральный закон от 7.10.</w:t>
      </w:r>
      <w:r w:rsidR="009C2687" w:rsidRPr="009C2687">
        <w:rPr>
          <w:sz w:val="28"/>
          <w:szCs w:val="28"/>
        </w:rPr>
        <w:t>2011 г. №</w:t>
      </w:r>
      <w:r w:rsidRPr="009C2687">
        <w:rPr>
          <w:sz w:val="28"/>
          <w:szCs w:val="28"/>
        </w:rPr>
        <w:t xml:space="preserve"> 272-ФЗ</w:t>
      </w:r>
      <w:r w:rsidR="009C2687" w:rsidRPr="009C2687">
        <w:rPr>
          <w:sz w:val="28"/>
          <w:szCs w:val="28"/>
        </w:rPr>
        <w:t xml:space="preserve"> «</w:t>
      </w:r>
      <w:r w:rsidRPr="009C2687">
        <w:rPr>
          <w:sz w:val="28"/>
          <w:szCs w:val="28"/>
        </w:rPr>
        <w:t>Об исполнении федерального бюджета за 2010 год</w:t>
      </w:r>
      <w:r w:rsidR="009C2687" w:rsidRPr="009C2687">
        <w:rPr>
          <w:sz w:val="28"/>
          <w:szCs w:val="28"/>
        </w:rPr>
        <w:t>»</w:t>
      </w:r>
    </w:p>
    <w:p w:rsidR="00B61643" w:rsidRPr="009C2687" w:rsidRDefault="00B61643" w:rsidP="00B61643">
      <w:pPr>
        <w:numPr>
          <w:ilvl w:val="0"/>
          <w:numId w:val="1"/>
        </w:numPr>
        <w:tabs>
          <w:tab w:val="num" w:pos="840"/>
        </w:tabs>
        <w:spacing w:after="0" w:line="360" w:lineRule="auto"/>
        <w:ind w:left="426" w:hanging="426"/>
        <w:jc w:val="both"/>
        <w:rPr>
          <w:sz w:val="28"/>
          <w:szCs w:val="28"/>
        </w:rPr>
      </w:pPr>
      <w:r w:rsidRPr="009C2687">
        <w:rPr>
          <w:sz w:val="28"/>
          <w:szCs w:val="28"/>
        </w:rPr>
        <w:t>Федеральный закон от 30.11.2011 г. № 371-ФЗ «О федеральном бюджете на 2012 год и на плановый период 2013 и 2014 годов»</w:t>
      </w:r>
    </w:p>
    <w:p w:rsidR="009C2687" w:rsidRPr="009C2687" w:rsidRDefault="009C2687" w:rsidP="00B61643">
      <w:pPr>
        <w:numPr>
          <w:ilvl w:val="0"/>
          <w:numId w:val="1"/>
        </w:numPr>
        <w:tabs>
          <w:tab w:val="num" w:pos="840"/>
        </w:tabs>
        <w:spacing w:after="0" w:line="360" w:lineRule="auto"/>
        <w:ind w:left="426" w:hanging="426"/>
        <w:jc w:val="both"/>
        <w:rPr>
          <w:sz w:val="28"/>
          <w:szCs w:val="28"/>
        </w:rPr>
      </w:pPr>
      <w:r w:rsidRPr="009C2687">
        <w:rPr>
          <w:sz w:val="28"/>
          <w:szCs w:val="28"/>
        </w:rPr>
        <w:t>Федеральный закон от 2.10.2012 г. № 151-ФЗ «Об исполнении федерального бюджета за 2011 год»</w:t>
      </w:r>
    </w:p>
    <w:p w:rsidR="00696016" w:rsidRPr="00242EAE" w:rsidRDefault="00696016" w:rsidP="00242EAE">
      <w:pPr>
        <w:numPr>
          <w:ilvl w:val="0"/>
          <w:numId w:val="1"/>
        </w:numPr>
        <w:tabs>
          <w:tab w:val="num" w:pos="840"/>
        </w:tabs>
        <w:spacing w:after="0" w:line="360" w:lineRule="auto"/>
        <w:ind w:left="426" w:hanging="426"/>
        <w:jc w:val="both"/>
        <w:rPr>
          <w:sz w:val="28"/>
          <w:szCs w:val="28"/>
        </w:rPr>
      </w:pPr>
      <w:r>
        <w:rPr>
          <w:sz w:val="28"/>
          <w:szCs w:val="28"/>
        </w:rPr>
        <w:t>Федерального закона от 03.12.2012</w:t>
      </w:r>
      <w:r w:rsidR="00B61643">
        <w:rPr>
          <w:sz w:val="28"/>
          <w:szCs w:val="28"/>
        </w:rPr>
        <w:t xml:space="preserve"> г.</w:t>
      </w:r>
      <w:r>
        <w:rPr>
          <w:sz w:val="28"/>
          <w:szCs w:val="28"/>
        </w:rPr>
        <w:t xml:space="preserve"> № 216-ФЗ «О федеральном бюджете на 2013 год и плановый период 2014 и 2015 годов»</w:t>
      </w:r>
    </w:p>
    <w:p w:rsidR="0051540B" w:rsidRPr="00AA562D" w:rsidRDefault="00696016" w:rsidP="0051540B">
      <w:pPr>
        <w:numPr>
          <w:ilvl w:val="0"/>
          <w:numId w:val="1"/>
        </w:numPr>
        <w:tabs>
          <w:tab w:val="num" w:pos="840"/>
        </w:tabs>
        <w:spacing w:after="0" w:line="360" w:lineRule="auto"/>
        <w:ind w:left="426" w:hanging="426"/>
        <w:jc w:val="both"/>
        <w:rPr>
          <w:sz w:val="28"/>
          <w:szCs w:val="28"/>
        </w:rPr>
      </w:pPr>
      <w:r>
        <w:rPr>
          <w:sz w:val="28"/>
          <w:szCs w:val="28"/>
        </w:rPr>
        <w:t>Федеральный закон от 25.12.</w:t>
      </w:r>
      <w:r w:rsidR="0051540B" w:rsidRPr="00AA562D">
        <w:rPr>
          <w:sz w:val="28"/>
          <w:szCs w:val="28"/>
        </w:rPr>
        <w:t xml:space="preserve">2012 г. </w:t>
      </w:r>
      <w:r w:rsidR="0051540B">
        <w:rPr>
          <w:sz w:val="28"/>
          <w:szCs w:val="28"/>
        </w:rPr>
        <w:t xml:space="preserve">№ </w:t>
      </w:r>
      <w:r w:rsidR="0051540B" w:rsidRPr="00AA562D">
        <w:rPr>
          <w:sz w:val="28"/>
          <w:szCs w:val="28"/>
        </w:rPr>
        <w:t>268-ФЗ «О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w:t>
      </w:r>
    </w:p>
    <w:p w:rsidR="00242EAE" w:rsidRPr="00242EAE" w:rsidRDefault="0051540B" w:rsidP="00242EAE">
      <w:pPr>
        <w:numPr>
          <w:ilvl w:val="0"/>
          <w:numId w:val="1"/>
        </w:numPr>
        <w:tabs>
          <w:tab w:val="num" w:pos="840"/>
        </w:tabs>
        <w:spacing w:after="0" w:line="360" w:lineRule="auto"/>
        <w:ind w:left="426" w:hanging="426"/>
        <w:jc w:val="both"/>
        <w:rPr>
          <w:sz w:val="28"/>
          <w:szCs w:val="28"/>
        </w:rPr>
      </w:pPr>
      <w:r w:rsidRPr="00AA562D">
        <w:rPr>
          <w:sz w:val="28"/>
          <w:szCs w:val="28"/>
        </w:rPr>
        <w:t>Постановление П</w:t>
      </w:r>
      <w:r w:rsidR="00696016">
        <w:rPr>
          <w:sz w:val="28"/>
          <w:szCs w:val="28"/>
        </w:rPr>
        <w:t>равительства РФ от 21.04.</w:t>
      </w:r>
      <w:r w:rsidRPr="00AA562D">
        <w:rPr>
          <w:sz w:val="28"/>
          <w:szCs w:val="28"/>
        </w:rPr>
        <w:t>2006 г.</w:t>
      </w:r>
      <w:r>
        <w:rPr>
          <w:sz w:val="28"/>
          <w:szCs w:val="28"/>
        </w:rPr>
        <w:t xml:space="preserve"> №</w:t>
      </w:r>
      <w:r w:rsidRPr="00AA562D">
        <w:rPr>
          <w:sz w:val="28"/>
          <w:szCs w:val="28"/>
        </w:rPr>
        <w:t xml:space="preserve"> 229 «О порядке управления средствами Стабилизационного фонда Российской Федерации»</w:t>
      </w:r>
    </w:p>
    <w:p w:rsidR="00242EAE" w:rsidRPr="00242EAE" w:rsidRDefault="00242EAE" w:rsidP="00242EAE">
      <w:pPr>
        <w:numPr>
          <w:ilvl w:val="0"/>
          <w:numId w:val="1"/>
        </w:numPr>
        <w:tabs>
          <w:tab w:val="num" w:pos="840"/>
        </w:tabs>
        <w:spacing w:after="0" w:line="360" w:lineRule="auto"/>
        <w:ind w:left="426" w:hanging="426"/>
        <w:jc w:val="both"/>
        <w:rPr>
          <w:sz w:val="28"/>
          <w:szCs w:val="28"/>
        </w:rPr>
      </w:pPr>
      <w:r w:rsidRPr="00242EAE">
        <w:rPr>
          <w:sz w:val="28"/>
          <w:szCs w:val="28"/>
        </w:rPr>
        <w:t>Постановление Правительства РФ от 29.12.2007</w:t>
      </w:r>
      <w:r w:rsidR="00B61643">
        <w:rPr>
          <w:sz w:val="28"/>
          <w:szCs w:val="28"/>
        </w:rPr>
        <w:t xml:space="preserve"> г. №</w:t>
      </w:r>
      <w:r w:rsidRPr="00242EAE">
        <w:rPr>
          <w:sz w:val="28"/>
          <w:szCs w:val="28"/>
        </w:rPr>
        <w:t xml:space="preserve"> 955 «О порядке управлен</w:t>
      </w:r>
      <w:r w:rsidR="00B61643">
        <w:rPr>
          <w:sz w:val="28"/>
          <w:szCs w:val="28"/>
        </w:rPr>
        <w:t>ия средствами Резервного фонда»</w:t>
      </w:r>
    </w:p>
    <w:p w:rsidR="00B61643" w:rsidRDefault="00242EAE" w:rsidP="00B61643">
      <w:pPr>
        <w:numPr>
          <w:ilvl w:val="0"/>
          <w:numId w:val="1"/>
        </w:numPr>
        <w:tabs>
          <w:tab w:val="num" w:pos="840"/>
        </w:tabs>
        <w:spacing w:after="0" w:line="360" w:lineRule="auto"/>
        <w:ind w:left="426" w:hanging="426"/>
        <w:jc w:val="both"/>
        <w:rPr>
          <w:sz w:val="28"/>
          <w:szCs w:val="28"/>
        </w:rPr>
      </w:pPr>
      <w:r w:rsidRPr="00242EAE">
        <w:rPr>
          <w:sz w:val="28"/>
          <w:szCs w:val="28"/>
        </w:rPr>
        <w:t>Постановление Правительства РФ от 19.01.2008</w:t>
      </w:r>
      <w:r w:rsidR="00B61643">
        <w:rPr>
          <w:sz w:val="28"/>
          <w:szCs w:val="28"/>
        </w:rPr>
        <w:t xml:space="preserve"> г. №</w:t>
      </w:r>
      <w:r w:rsidRPr="00242EAE">
        <w:rPr>
          <w:sz w:val="28"/>
          <w:szCs w:val="28"/>
        </w:rPr>
        <w:t xml:space="preserve"> 18 «О порядке управления средствами Фонд</w:t>
      </w:r>
      <w:r w:rsidR="00B61643">
        <w:rPr>
          <w:sz w:val="28"/>
          <w:szCs w:val="28"/>
        </w:rPr>
        <w:t>а национального благосостояния»</w:t>
      </w:r>
    </w:p>
    <w:p w:rsidR="00B61643" w:rsidRPr="00A730D3" w:rsidRDefault="00B61643" w:rsidP="00A730D3">
      <w:pPr>
        <w:numPr>
          <w:ilvl w:val="0"/>
          <w:numId w:val="1"/>
        </w:numPr>
        <w:tabs>
          <w:tab w:val="num" w:pos="840"/>
        </w:tabs>
        <w:spacing w:after="0" w:line="360" w:lineRule="auto"/>
        <w:ind w:left="426" w:hanging="426"/>
        <w:jc w:val="both"/>
        <w:rPr>
          <w:sz w:val="28"/>
          <w:szCs w:val="28"/>
        </w:rPr>
      </w:pPr>
      <w:r w:rsidRPr="00B61643">
        <w:rPr>
          <w:sz w:val="28"/>
          <w:szCs w:val="28"/>
        </w:rPr>
        <w:t>Распоряжение Правительства Российской Федерации от 4.03.2013 г. № 293-р «Об утверждении государственной программы Российской Федерации «Управление государственными финансами»</w:t>
      </w:r>
    </w:p>
    <w:p w:rsidR="00B61643" w:rsidRDefault="00B61643" w:rsidP="00175439">
      <w:pPr>
        <w:numPr>
          <w:ilvl w:val="0"/>
          <w:numId w:val="1"/>
        </w:numPr>
        <w:tabs>
          <w:tab w:val="num" w:pos="840"/>
        </w:tabs>
        <w:spacing w:after="0" w:line="360" w:lineRule="auto"/>
        <w:ind w:left="426" w:hanging="426"/>
        <w:jc w:val="both"/>
        <w:rPr>
          <w:sz w:val="28"/>
          <w:szCs w:val="28"/>
        </w:rPr>
      </w:pPr>
      <w:r w:rsidRPr="00076A9C">
        <w:rPr>
          <w:sz w:val="28"/>
          <w:szCs w:val="28"/>
        </w:rPr>
        <w:lastRenderedPageBreak/>
        <w:t>Бю</w:t>
      </w:r>
      <w:r>
        <w:rPr>
          <w:sz w:val="28"/>
          <w:szCs w:val="28"/>
        </w:rPr>
        <w:t>джетное</w:t>
      </w:r>
      <w:r w:rsidRPr="00076A9C">
        <w:rPr>
          <w:sz w:val="28"/>
          <w:szCs w:val="28"/>
        </w:rPr>
        <w:t xml:space="preserve"> послания Президента Российской Федерации о бюджетной политике в 2012-2014 гг. </w:t>
      </w:r>
      <w:r>
        <w:rPr>
          <w:sz w:val="28"/>
          <w:szCs w:val="28"/>
        </w:rPr>
        <w:t>от 29.06.2011г.</w:t>
      </w:r>
    </w:p>
    <w:p w:rsidR="00175439" w:rsidRDefault="00696016" w:rsidP="00175439">
      <w:pPr>
        <w:numPr>
          <w:ilvl w:val="0"/>
          <w:numId w:val="1"/>
        </w:numPr>
        <w:tabs>
          <w:tab w:val="num" w:pos="840"/>
        </w:tabs>
        <w:spacing w:after="0" w:line="360" w:lineRule="auto"/>
        <w:ind w:left="426" w:hanging="426"/>
        <w:jc w:val="both"/>
        <w:rPr>
          <w:sz w:val="28"/>
          <w:szCs w:val="28"/>
        </w:rPr>
      </w:pPr>
      <w:r w:rsidRPr="002A310B">
        <w:rPr>
          <w:sz w:val="28"/>
          <w:szCs w:val="28"/>
        </w:rPr>
        <w:t>Послание Президента РФ Федеральному Собранию РФ</w:t>
      </w:r>
      <w:r w:rsidR="00B61643">
        <w:rPr>
          <w:sz w:val="28"/>
          <w:szCs w:val="28"/>
        </w:rPr>
        <w:t xml:space="preserve"> от 26.04.</w:t>
      </w:r>
      <w:smartTag w:uri="urn:schemas-microsoft-com:office:smarttags" w:element="metricconverter">
        <w:smartTagPr>
          <w:attr w:name="ProductID" w:val="2007 г"/>
        </w:smartTagPr>
        <w:r w:rsidRPr="002A310B">
          <w:rPr>
            <w:sz w:val="28"/>
            <w:szCs w:val="28"/>
          </w:rPr>
          <w:t>2007 г</w:t>
        </w:r>
      </w:smartTag>
      <w:r w:rsidRPr="002A310B">
        <w:rPr>
          <w:sz w:val="28"/>
          <w:szCs w:val="28"/>
        </w:rPr>
        <w:t>.</w:t>
      </w:r>
    </w:p>
    <w:p w:rsidR="00175439" w:rsidRDefault="00175439" w:rsidP="00175439">
      <w:pPr>
        <w:numPr>
          <w:ilvl w:val="0"/>
          <w:numId w:val="1"/>
        </w:numPr>
        <w:tabs>
          <w:tab w:val="num" w:pos="840"/>
        </w:tabs>
        <w:spacing w:after="0" w:line="360" w:lineRule="auto"/>
        <w:ind w:left="426" w:hanging="426"/>
        <w:jc w:val="both"/>
        <w:rPr>
          <w:sz w:val="28"/>
          <w:szCs w:val="28"/>
        </w:rPr>
      </w:pPr>
      <w:r w:rsidRPr="00175439">
        <w:rPr>
          <w:sz w:val="28"/>
          <w:szCs w:val="28"/>
        </w:rPr>
        <w:t>План действий, направленных на оздоровление ситуации в финансовом секторе и отдельных отраслях экономики (утвержден Председателем Правительства Российской Фе</w:t>
      </w:r>
      <w:r>
        <w:rPr>
          <w:sz w:val="28"/>
          <w:szCs w:val="28"/>
        </w:rPr>
        <w:t>дерации В.В. Путиным 6.11.2008 г.</w:t>
      </w:r>
      <w:r w:rsidRPr="00175439">
        <w:rPr>
          <w:sz w:val="28"/>
          <w:szCs w:val="28"/>
        </w:rPr>
        <w:t xml:space="preserve"> № 4863п-П13) </w:t>
      </w:r>
    </w:p>
    <w:p w:rsidR="00175439" w:rsidRDefault="00175439" w:rsidP="00175439">
      <w:pPr>
        <w:numPr>
          <w:ilvl w:val="0"/>
          <w:numId w:val="1"/>
        </w:numPr>
        <w:tabs>
          <w:tab w:val="num" w:pos="840"/>
        </w:tabs>
        <w:spacing w:after="0" w:line="360" w:lineRule="auto"/>
        <w:ind w:left="426" w:hanging="426"/>
        <w:jc w:val="both"/>
        <w:rPr>
          <w:sz w:val="28"/>
          <w:szCs w:val="28"/>
        </w:rPr>
      </w:pPr>
      <w:r w:rsidRPr="00175439">
        <w:rPr>
          <w:sz w:val="28"/>
          <w:szCs w:val="28"/>
        </w:rPr>
        <w:t xml:space="preserve">Программа антикризисных мер Правительства Российской Федерации на 2009 год (одобрена на заседании Правительства Российской </w:t>
      </w:r>
      <w:r>
        <w:rPr>
          <w:sz w:val="28"/>
          <w:szCs w:val="28"/>
        </w:rPr>
        <w:t>Федерации, протокол от 9.04.</w:t>
      </w:r>
      <w:r w:rsidRPr="00175439">
        <w:rPr>
          <w:sz w:val="28"/>
          <w:szCs w:val="28"/>
        </w:rPr>
        <w:t>2009 г. № 11)</w:t>
      </w:r>
    </w:p>
    <w:p w:rsidR="00A730D3" w:rsidRDefault="00175439" w:rsidP="00A730D3">
      <w:pPr>
        <w:numPr>
          <w:ilvl w:val="0"/>
          <w:numId w:val="1"/>
        </w:numPr>
        <w:tabs>
          <w:tab w:val="num" w:pos="840"/>
        </w:tabs>
        <w:spacing w:after="0" w:line="360" w:lineRule="auto"/>
        <w:ind w:left="426" w:hanging="426"/>
        <w:jc w:val="both"/>
        <w:rPr>
          <w:sz w:val="28"/>
          <w:szCs w:val="28"/>
        </w:rPr>
      </w:pPr>
      <w:r w:rsidRPr="00175439">
        <w:rPr>
          <w:sz w:val="28"/>
          <w:szCs w:val="28"/>
        </w:rPr>
        <w:t>Основные направления антикризисных действий Правительства Российской Федерации на 2010 год (одобрено на заседании Правительства Российской Фе</w:t>
      </w:r>
      <w:r>
        <w:rPr>
          <w:sz w:val="28"/>
          <w:szCs w:val="28"/>
        </w:rPr>
        <w:t>дерации, протокол от 30.12.</w:t>
      </w:r>
      <w:r w:rsidRPr="00175439">
        <w:rPr>
          <w:sz w:val="28"/>
          <w:szCs w:val="28"/>
        </w:rPr>
        <w:t>2009 г. № 42)</w:t>
      </w:r>
    </w:p>
    <w:p w:rsidR="00A730D3" w:rsidRPr="00A730D3" w:rsidRDefault="00A730D3" w:rsidP="00A730D3">
      <w:pPr>
        <w:numPr>
          <w:ilvl w:val="0"/>
          <w:numId w:val="1"/>
        </w:numPr>
        <w:tabs>
          <w:tab w:val="num" w:pos="840"/>
        </w:tabs>
        <w:spacing w:after="0" w:line="360" w:lineRule="auto"/>
        <w:ind w:left="426" w:hanging="426"/>
        <w:jc w:val="both"/>
        <w:rPr>
          <w:sz w:val="28"/>
          <w:szCs w:val="28"/>
        </w:rPr>
      </w:pPr>
      <w:r>
        <w:rPr>
          <w:sz w:val="28"/>
          <w:szCs w:val="28"/>
        </w:rPr>
        <w:t xml:space="preserve">Законопроект </w:t>
      </w:r>
      <w:r w:rsidRPr="00A730D3">
        <w:rPr>
          <w:sz w:val="28"/>
          <w:szCs w:val="28"/>
        </w:rPr>
        <w:t>№ 137443-6«О внесении изменений в Бюджетный кодекс Российской Федерации и установлении требований к работникам специализированной финансовой организации, учреждаемой Правительством Российской Федерации»</w:t>
      </w:r>
    </w:p>
    <w:p w:rsidR="00696016" w:rsidRDefault="00696016" w:rsidP="004E6E96">
      <w:pPr>
        <w:pStyle w:val="a8"/>
        <w:numPr>
          <w:ilvl w:val="0"/>
          <w:numId w:val="1"/>
        </w:numPr>
        <w:spacing w:after="0" w:line="360" w:lineRule="auto"/>
        <w:ind w:left="426" w:hanging="426"/>
        <w:jc w:val="both"/>
        <w:rPr>
          <w:sz w:val="28"/>
          <w:szCs w:val="28"/>
        </w:rPr>
      </w:pPr>
      <w:r w:rsidRPr="00696016">
        <w:rPr>
          <w:sz w:val="28"/>
          <w:szCs w:val="28"/>
        </w:rPr>
        <w:t>Пояснительная записка к законопроекту «О внесении изменений в Бюджетный кодекс Российской Федерации и отдельные законодательные акты Российской Федерации в части использования нефтегазовых доходов федерального бюджета»</w:t>
      </w:r>
    </w:p>
    <w:p w:rsidR="00B61643" w:rsidRDefault="00B61643" w:rsidP="004E6E96">
      <w:pPr>
        <w:pStyle w:val="a8"/>
        <w:numPr>
          <w:ilvl w:val="0"/>
          <w:numId w:val="1"/>
        </w:numPr>
        <w:spacing w:after="0" w:line="360" w:lineRule="auto"/>
        <w:ind w:left="426" w:hanging="426"/>
        <w:jc w:val="both"/>
        <w:rPr>
          <w:sz w:val="28"/>
          <w:szCs w:val="28"/>
        </w:rPr>
      </w:pPr>
      <w:r w:rsidRPr="00B61643">
        <w:rPr>
          <w:sz w:val="28"/>
          <w:szCs w:val="28"/>
        </w:rPr>
        <w:t>Протокол № 02 заседания Общественного совета при Министерстве финансов Российской Федерации, 22.02.2012</w:t>
      </w:r>
      <w:r>
        <w:rPr>
          <w:sz w:val="28"/>
          <w:szCs w:val="28"/>
        </w:rPr>
        <w:t xml:space="preserve"> г</w:t>
      </w:r>
      <w:r w:rsidRPr="00B61643">
        <w:rPr>
          <w:sz w:val="28"/>
          <w:szCs w:val="28"/>
        </w:rPr>
        <w:t>.</w:t>
      </w:r>
    </w:p>
    <w:p w:rsidR="00696016" w:rsidRDefault="00696016" w:rsidP="004E6E96">
      <w:pPr>
        <w:pStyle w:val="a8"/>
        <w:numPr>
          <w:ilvl w:val="0"/>
          <w:numId w:val="1"/>
        </w:numPr>
        <w:spacing w:after="0" w:line="360" w:lineRule="auto"/>
        <w:ind w:left="426" w:hanging="426"/>
        <w:jc w:val="both"/>
        <w:rPr>
          <w:sz w:val="28"/>
          <w:szCs w:val="28"/>
        </w:rPr>
      </w:pPr>
      <w:r>
        <w:rPr>
          <w:sz w:val="28"/>
          <w:szCs w:val="28"/>
        </w:rPr>
        <w:t>Материалы расширенной коллегии Минфина России «Исполнение федерального бюджета и бюджетов бюджетной системы России в 2012 году»</w:t>
      </w:r>
    </w:p>
    <w:p w:rsidR="00696016" w:rsidRPr="00255681" w:rsidRDefault="00696016" w:rsidP="004E6E96">
      <w:pPr>
        <w:pStyle w:val="a8"/>
        <w:numPr>
          <w:ilvl w:val="0"/>
          <w:numId w:val="1"/>
        </w:numPr>
        <w:spacing w:after="0" w:line="360" w:lineRule="auto"/>
        <w:ind w:left="426" w:hanging="426"/>
        <w:jc w:val="both"/>
        <w:rPr>
          <w:sz w:val="28"/>
          <w:szCs w:val="28"/>
        </w:rPr>
      </w:pPr>
      <w:r>
        <w:rPr>
          <w:sz w:val="28"/>
          <w:szCs w:val="28"/>
        </w:rPr>
        <w:t>Материалы расширенной коллегии Минфина России «Основные результаты деятельности Департаментов Министерства финансов российской Федерации в 2012 году и задачи на 2013 год»</w:t>
      </w:r>
    </w:p>
    <w:p w:rsidR="00456005" w:rsidRPr="00696016" w:rsidRDefault="00B839F5" w:rsidP="004E6E96">
      <w:pPr>
        <w:pStyle w:val="a8"/>
        <w:numPr>
          <w:ilvl w:val="0"/>
          <w:numId w:val="1"/>
        </w:numPr>
        <w:spacing w:after="0" w:line="360" w:lineRule="auto"/>
        <w:ind w:left="426" w:hanging="426"/>
        <w:jc w:val="both"/>
        <w:rPr>
          <w:sz w:val="28"/>
          <w:szCs w:val="28"/>
        </w:rPr>
      </w:pPr>
      <w:r w:rsidRPr="00696016">
        <w:rPr>
          <w:sz w:val="28"/>
          <w:szCs w:val="28"/>
        </w:rPr>
        <w:lastRenderedPageBreak/>
        <w:t>Аренд Р. Как поддерживать экономический рост в ресурсно-зависимой экономике? // Вопросы экономики. – 2006. – №7. – С. 24-36.</w:t>
      </w:r>
    </w:p>
    <w:p w:rsidR="007C31BC" w:rsidRDefault="00456005" w:rsidP="007C31BC">
      <w:pPr>
        <w:pStyle w:val="a8"/>
        <w:numPr>
          <w:ilvl w:val="0"/>
          <w:numId w:val="1"/>
        </w:numPr>
        <w:spacing w:after="0" w:line="360" w:lineRule="auto"/>
        <w:ind w:left="426" w:hanging="426"/>
        <w:jc w:val="both"/>
        <w:rPr>
          <w:sz w:val="28"/>
          <w:szCs w:val="28"/>
        </w:rPr>
      </w:pPr>
      <w:r w:rsidRPr="00AA562D">
        <w:rPr>
          <w:sz w:val="28"/>
          <w:szCs w:val="28"/>
        </w:rPr>
        <w:t xml:space="preserve">Бажан А.И. Стабилизационный фонд: теоретические и практические аспекты // Банковское дело. – 2006. – № 12. – С. 18-22. </w:t>
      </w:r>
    </w:p>
    <w:p w:rsidR="00927478" w:rsidRPr="00AA562D" w:rsidRDefault="00927478" w:rsidP="007C31BC">
      <w:pPr>
        <w:pStyle w:val="a8"/>
        <w:numPr>
          <w:ilvl w:val="0"/>
          <w:numId w:val="1"/>
        </w:numPr>
        <w:spacing w:after="0" w:line="360" w:lineRule="auto"/>
        <w:ind w:left="426" w:hanging="426"/>
        <w:jc w:val="both"/>
        <w:rPr>
          <w:sz w:val="28"/>
          <w:szCs w:val="28"/>
        </w:rPr>
      </w:pPr>
      <w:r>
        <w:rPr>
          <w:sz w:val="28"/>
          <w:szCs w:val="28"/>
        </w:rPr>
        <w:t>Восстановление и перспективы дальнейшего развития экономики // Доклад об экономике Росии. – Всемирный банк. – 2013. - № 29.</w:t>
      </w:r>
    </w:p>
    <w:p w:rsidR="00CB33C9" w:rsidRPr="00AA562D" w:rsidRDefault="00CB33C9" w:rsidP="007C31BC">
      <w:pPr>
        <w:pStyle w:val="a8"/>
        <w:numPr>
          <w:ilvl w:val="0"/>
          <w:numId w:val="1"/>
        </w:numPr>
        <w:spacing w:after="0" w:line="360" w:lineRule="auto"/>
        <w:ind w:left="426" w:hanging="426"/>
        <w:jc w:val="both"/>
        <w:rPr>
          <w:sz w:val="28"/>
          <w:szCs w:val="28"/>
        </w:rPr>
      </w:pPr>
      <w:r w:rsidRPr="00AA562D">
        <w:rPr>
          <w:sz w:val="28"/>
          <w:szCs w:val="28"/>
        </w:rPr>
        <w:t>Гортни Дж. Пути экономического роста: международный опыт. М.: Деловой экспресс, 2001.</w:t>
      </w:r>
    </w:p>
    <w:p w:rsidR="00982F47" w:rsidRDefault="007C31BC" w:rsidP="007C31BC">
      <w:pPr>
        <w:pStyle w:val="a8"/>
        <w:numPr>
          <w:ilvl w:val="0"/>
          <w:numId w:val="1"/>
        </w:numPr>
        <w:spacing w:after="0" w:line="360" w:lineRule="auto"/>
        <w:ind w:left="426" w:hanging="426"/>
        <w:jc w:val="both"/>
        <w:rPr>
          <w:sz w:val="28"/>
          <w:szCs w:val="28"/>
        </w:rPr>
      </w:pPr>
      <w:r w:rsidRPr="00AA562D">
        <w:rPr>
          <w:sz w:val="28"/>
          <w:szCs w:val="28"/>
        </w:rPr>
        <w:t>Гурвич Е.Т. Макроэкономическая оценка роли российского нефтегазового сектора // Вопросы</w:t>
      </w:r>
      <w:r w:rsidR="00982F47">
        <w:rPr>
          <w:sz w:val="28"/>
          <w:szCs w:val="28"/>
        </w:rPr>
        <w:t xml:space="preserve"> экономики. – 2004. - № 10.</w:t>
      </w:r>
    </w:p>
    <w:p w:rsidR="007C31BC" w:rsidRPr="00AA562D" w:rsidRDefault="00982F47" w:rsidP="007C31BC">
      <w:pPr>
        <w:pStyle w:val="a8"/>
        <w:numPr>
          <w:ilvl w:val="0"/>
          <w:numId w:val="1"/>
        </w:numPr>
        <w:spacing w:after="0" w:line="360" w:lineRule="auto"/>
        <w:ind w:left="426" w:hanging="426"/>
        <w:jc w:val="both"/>
        <w:rPr>
          <w:sz w:val="28"/>
          <w:szCs w:val="28"/>
        </w:rPr>
      </w:pPr>
      <w:r w:rsidRPr="00982F47">
        <w:rPr>
          <w:sz w:val="28"/>
          <w:szCs w:val="28"/>
        </w:rPr>
        <w:t>Гурвич Е.Т. Российская бюджетная политика - новый этап</w:t>
      </w:r>
      <w:r>
        <w:rPr>
          <w:sz w:val="28"/>
          <w:szCs w:val="28"/>
        </w:rPr>
        <w:t xml:space="preserve">// </w:t>
      </w:r>
      <w:r w:rsidRPr="00982F47">
        <w:rPr>
          <w:sz w:val="28"/>
          <w:szCs w:val="28"/>
        </w:rPr>
        <w:t>Журнал «RussianAnalyticalDigest». – 2012. - № 121</w:t>
      </w:r>
    </w:p>
    <w:p w:rsidR="00982F47" w:rsidRDefault="00DA6EDB" w:rsidP="00982F47">
      <w:pPr>
        <w:pStyle w:val="a8"/>
        <w:numPr>
          <w:ilvl w:val="0"/>
          <w:numId w:val="1"/>
        </w:numPr>
        <w:spacing w:after="0" w:line="360" w:lineRule="auto"/>
        <w:ind w:left="426" w:hanging="426"/>
        <w:jc w:val="both"/>
        <w:rPr>
          <w:sz w:val="28"/>
          <w:szCs w:val="28"/>
        </w:rPr>
      </w:pPr>
      <w:r w:rsidRPr="00AA562D">
        <w:rPr>
          <w:sz w:val="28"/>
          <w:szCs w:val="28"/>
        </w:rPr>
        <w:t xml:space="preserve">Гусев К. Стабилизационный фонд: за и против // Банковское дело. – 2006. –  № 12. – С. 10-17. </w:t>
      </w:r>
    </w:p>
    <w:p w:rsidR="00982F47" w:rsidRPr="003C1C70" w:rsidRDefault="00982F47" w:rsidP="003C1C70">
      <w:pPr>
        <w:pStyle w:val="a8"/>
        <w:numPr>
          <w:ilvl w:val="0"/>
          <w:numId w:val="1"/>
        </w:numPr>
        <w:spacing w:after="0" w:line="360" w:lineRule="auto"/>
        <w:ind w:left="426" w:hanging="426"/>
        <w:jc w:val="both"/>
        <w:rPr>
          <w:sz w:val="28"/>
          <w:szCs w:val="28"/>
        </w:rPr>
      </w:pPr>
      <w:r w:rsidRPr="003C1C70">
        <w:rPr>
          <w:sz w:val="28"/>
          <w:szCs w:val="28"/>
        </w:rPr>
        <w:t xml:space="preserve">Казакевич П.А. Организационные аспекты деятельности суверенных фондов </w:t>
      </w:r>
      <w:r w:rsidR="003C1C70" w:rsidRPr="003C1C70">
        <w:rPr>
          <w:sz w:val="28"/>
          <w:szCs w:val="28"/>
        </w:rPr>
        <w:t xml:space="preserve">благосостояния </w:t>
      </w:r>
      <w:r w:rsidRPr="003C1C70">
        <w:rPr>
          <w:sz w:val="28"/>
          <w:szCs w:val="28"/>
        </w:rPr>
        <w:t>//Дайджест финансы. – 2009. – №. 3.</w:t>
      </w:r>
      <w:r w:rsidR="003C1C70" w:rsidRPr="003C1C70">
        <w:rPr>
          <w:sz w:val="28"/>
          <w:szCs w:val="28"/>
        </w:rPr>
        <w:t xml:space="preserve"> – С. 33-41.</w:t>
      </w:r>
    </w:p>
    <w:p w:rsidR="00644514" w:rsidRPr="00AA562D" w:rsidRDefault="00B839F5" w:rsidP="004E6E96">
      <w:pPr>
        <w:pStyle w:val="a8"/>
        <w:numPr>
          <w:ilvl w:val="0"/>
          <w:numId w:val="1"/>
        </w:numPr>
        <w:spacing w:after="0" w:line="360" w:lineRule="auto"/>
        <w:ind w:left="426" w:hanging="426"/>
        <w:jc w:val="both"/>
        <w:rPr>
          <w:sz w:val="28"/>
          <w:szCs w:val="28"/>
        </w:rPr>
      </w:pPr>
      <w:r w:rsidRPr="00AA562D">
        <w:rPr>
          <w:sz w:val="28"/>
          <w:szCs w:val="28"/>
        </w:rPr>
        <w:t>Как избежать ресурсного проклятия [Текст] / под ред. М. Хамфриса, Д. Сакса и Д. Стиглица; пер. с англ. Н. Автономовой, И. Фридмана под ред. Е. Добрушиной и А.Ю. Кнобеля. М.: Изд. Института Гайдара, 2011. – 464 с.</w:t>
      </w:r>
    </w:p>
    <w:p w:rsidR="000E400B" w:rsidRPr="00AA562D" w:rsidRDefault="000E400B" w:rsidP="004E6E96">
      <w:pPr>
        <w:pStyle w:val="a8"/>
        <w:numPr>
          <w:ilvl w:val="0"/>
          <w:numId w:val="1"/>
        </w:numPr>
        <w:spacing w:after="0" w:line="360" w:lineRule="auto"/>
        <w:ind w:left="426" w:hanging="426"/>
        <w:jc w:val="both"/>
        <w:rPr>
          <w:sz w:val="28"/>
          <w:szCs w:val="28"/>
        </w:rPr>
      </w:pPr>
      <w:r w:rsidRPr="00AA562D">
        <w:rPr>
          <w:sz w:val="28"/>
          <w:szCs w:val="28"/>
        </w:rPr>
        <w:t>Колосницына М.Г. Экономика общественного сектора: государственные расходы // Экономический журнал ВШЭ. – 2003. - № 3. – С. 371-401.</w:t>
      </w:r>
    </w:p>
    <w:p w:rsidR="00644514" w:rsidRPr="00AA562D" w:rsidRDefault="00644514" w:rsidP="004E6E96">
      <w:pPr>
        <w:numPr>
          <w:ilvl w:val="0"/>
          <w:numId w:val="1"/>
        </w:numPr>
        <w:tabs>
          <w:tab w:val="num" w:pos="840"/>
        </w:tabs>
        <w:spacing w:after="0" w:line="360" w:lineRule="auto"/>
        <w:ind w:left="426" w:hanging="426"/>
        <w:jc w:val="both"/>
        <w:rPr>
          <w:sz w:val="28"/>
          <w:szCs w:val="28"/>
        </w:rPr>
      </w:pPr>
      <w:r w:rsidRPr="00AA562D">
        <w:rPr>
          <w:sz w:val="28"/>
          <w:szCs w:val="28"/>
        </w:rPr>
        <w:t xml:space="preserve">Кудрин А. Стабилизационный фонд: зарубежный и российский опыт // Вопросы экономики. – 2006. – № 2. – С. 28-45. </w:t>
      </w:r>
    </w:p>
    <w:p w:rsidR="00122FA5" w:rsidRPr="00AA562D" w:rsidRDefault="006244C0" w:rsidP="00122FA5">
      <w:pPr>
        <w:numPr>
          <w:ilvl w:val="0"/>
          <w:numId w:val="1"/>
        </w:numPr>
        <w:tabs>
          <w:tab w:val="num" w:pos="840"/>
        </w:tabs>
        <w:spacing w:after="0" w:line="360" w:lineRule="auto"/>
        <w:ind w:left="426" w:hanging="426"/>
        <w:jc w:val="both"/>
        <w:rPr>
          <w:sz w:val="28"/>
          <w:szCs w:val="28"/>
        </w:rPr>
      </w:pPr>
      <w:r w:rsidRPr="00AA562D">
        <w:rPr>
          <w:sz w:val="28"/>
          <w:szCs w:val="28"/>
        </w:rPr>
        <w:t xml:space="preserve">Кудрин А. </w:t>
      </w:r>
      <w:r w:rsidR="000C1F58" w:rsidRPr="00AA562D">
        <w:rPr>
          <w:sz w:val="28"/>
          <w:szCs w:val="28"/>
        </w:rPr>
        <w:t>Механизмы формирование ненефтегазового баланса бюджета Российской Федерации // Вопросы экономики. – 20</w:t>
      </w:r>
      <w:r w:rsidRPr="00AA562D">
        <w:rPr>
          <w:sz w:val="28"/>
          <w:szCs w:val="28"/>
        </w:rPr>
        <w:t>06. – № 8. – С. 4-16</w:t>
      </w:r>
      <w:r w:rsidR="000C1F58" w:rsidRPr="00AA562D">
        <w:rPr>
          <w:sz w:val="28"/>
          <w:szCs w:val="28"/>
        </w:rPr>
        <w:t xml:space="preserve">. </w:t>
      </w:r>
    </w:p>
    <w:p w:rsidR="00122FA5" w:rsidRPr="00AA562D" w:rsidRDefault="00122FA5" w:rsidP="00122FA5">
      <w:pPr>
        <w:numPr>
          <w:ilvl w:val="0"/>
          <w:numId w:val="1"/>
        </w:numPr>
        <w:tabs>
          <w:tab w:val="num" w:pos="840"/>
        </w:tabs>
        <w:spacing w:after="0" w:line="360" w:lineRule="auto"/>
        <w:ind w:left="426" w:hanging="426"/>
        <w:jc w:val="both"/>
        <w:rPr>
          <w:sz w:val="28"/>
          <w:szCs w:val="28"/>
        </w:rPr>
      </w:pPr>
      <w:r w:rsidRPr="00AA562D">
        <w:rPr>
          <w:sz w:val="28"/>
          <w:szCs w:val="28"/>
        </w:rPr>
        <w:lastRenderedPageBreak/>
        <w:t>Кудрин А. Чего мы ждем от нового правительства // Экономическая политика. – 2012. – №. 2</w:t>
      </w:r>
      <w:r w:rsidRPr="00AA562D">
        <w:rPr>
          <w:rFonts w:eastAsia="Times New Roman"/>
          <w:sz w:val="28"/>
          <w:szCs w:val="28"/>
          <w:lang w:eastAsia="ru-RU"/>
        </w:rPr>
        <w:t>.</w:t>
      </w:r>
    </w:p>
    <w:p w:rsidR="003C1C70" w:rsidRDefault="00CB7C64" w:rsidP="00CB7C64">
      <w:pPr>
        <w:numPr>
          <w:ilvl w:val="0"/>
          <w:numId w:val="1"/>
        </w:numPr>
        <w:tabs>
          <w:tab w:val="num" w:pos="840"/>
        </w:tabs>
        <w:spacing w:after="0" w:line="360" w:lineRule="auto"/>
        <w:ind w:left="426" w:hanging="426"/>
        <w:jc w:val="both"/>
        <w:rPr>
          <w:sz w:val="28"/>
          <w:szCs w:val="28"/>
        </w:rPr>
      </w:pPr>
      <w:r w:rsidRPr="003C1C70">
        <w:rPr>
          <w:sz w:val="28"/>
          <w:szCs w:val="28"/>
        </w:rPr>
        <w:t xml:space="preserve">Кудрин А. </w:t>
      </w:r>
      <w:r w:rsidR="00CB30B4" w:rsidRPr="003C1C70">
        <w:rPr>
          <w:sz w:val="28"/>
          <w:szCs w:val="28"/>
        </w:rPr>
        <w:t>Влияние доходов от экспорта нефтегазовых ресурсов на денежно-кредитную политику России</w:t>
      </w:r>
      <w:r w:rsidRPr="003C1C70">
        <w:rPr>
          <w:sz w:val="28"/>
          <w:szCs w:val="28"/>
        </w:rPr>
        <w:t xml:space="preserve"> // Вопросы экономики. – 20</w:t>
      </w:r>
      <w:r w:rsidR="00CB30B4" w:rsidRPr="003C1C70">
        <w:rPr>
          <w:sz w:val="28"/>
          <w:szCs w:val="28"/>
        </w:rPr>
        <w:t>13. – № 3. – С. 4-19</w:t>
      </w:r>
      <w:r w:rsidRPr="003C1C70">
        <w:rPr>
          <w:sz w:val="28"/>
          <w:szCs w:val="28"/>
        </w:rPr>
        <w:t xml:space="preserve">. </w:t>
      </w:r>
    </w:p>
    <w:p w:rsidR="003C1C70" w:rsidRDefault="003C1C70" w:rsidP="003C1C70">
      <w:pPr>
        <w:numPr>
          <w:ilvl w:val="0"/>
          <w:numId w:val="1"/>
        </w:numPr>
        <w:tabs>
          <w:tab w:val="num" w:pos="840"/>
        </w:tabs>
        <w:spacing w:after="0" w:line="360" w:lineRule="auto"/>
        <w:ind w:left="426" w:hanging="426"/>
        <w:jc w:val="both"/>
        <w:rPr>
          <w:sz w:val="28"/>
          <w:szCs w:val="28"/>
        </w:rPr>
      </w:pPr>
      <w:r>
        <w:rPr>
          <w:sz w:val="28"/>
          <w:szCs w:val="28"/>
        </w:rPr>
        <w:t xml:space="preserve">Лебединская Е. Роль нефтегазовых фондов в России // </w:t>
      </w:r>
      <w:r w:rsidRPr="003C1C70">
        <w:rPr>
          <w:sz w:val="28"/>
          <w:szCs w:val="28"/>
        </w:rPr>
        <w:t>Вопросы экономики. – 20</w:t>
      </w:r>
      <w:r>
        <w:rPr>
          <w:sz w:val="28"/>
          <w:szCs w:val="28"/>
        </w:rPr>
        <w:t>12. – № 3. – С. 98</w:t>
      </w:r>
      <w:r w:rsidRPr="003C1C70">
        <w:rPr>
          <w:sz w:val="28"/>
          <w:szCs w:val="28"/>
        </w:rPr>
        <w:t>-</w:t>
      </w:r>
      <w:r>
        <w:rPr>
          <w:sz w:val="28"/>
          <w:szCs w:val="28"/>
        </w:rPr>
        <w:t>1</w:t>
      </w:r>
      <w:r w:rsidRPr="003C1C70">
        <w:rPr>
          <w:sz w:val="28"/>
          <w:szCs w:val="28"/>
        </w:rPr>
        <w:t xml:space="preserve">19. </w:t>
      </w:r>
    </w:p>
    <w:p w:rsidR="007956D3" w:rsidRPr="007956D3" w:rsidRDefault="007956D3" w:rsidP="007956D3">
      <w:pPr>
        <w:pStyle w:val="a8"/>
        <w:numPr>
          <w:ilvl w:val="0"/>
          <w:numId w:val="1"/>
        </w:numPr>
        <w:spacing w:after="0" w:line="360" w:lineRule="auto"/>
        <w:ind w:left="426" w:hanging="426"/>
        <w:jc w:val="both"/>
        <w:rPr>
          <w:sz w:val="28"/>
          <w:szCs w:val="28"/>
        </w:rPr>
      </w:pPr>
      <w:r>
        <w:rPr>
          <w:sz w:val="28"/>
          <w:szCs w:val="28"/>
        </w:rPr>
        <w:t>Макроэкономика: учеб. / Т.А.Агапова, С.Ф. Серегина. – 9-е изд., дополненное. – М.:Маркет ДС, 2009. – 416 с. (Университетская серия)</w:t>
      </w:r>
    </w:p>
    <w:p w:rsidR="009C2687" w:rsidRPr="003C1C70" w:rsidRDefault="009C2687" w:rsidP="00CB7C64">
      <w:pPr>
        <w:numPr>
          <w:ilvl w:val="0"/>
          <w:numId w:val="1"/>
        </w:numPr>
        <w:tabs>
          <w:tab w:val="num" w:pos="840"/>
        </w:tabs>
        <w:spacing w:after="0" w:line="360" w:lineRule="auto"/>
        <w:ind w:left="426" w:hanging="426"/>
        <w:jc w:val="both"/>
        <w:rPr>
          <w:sz w:val="28"/>
          <w:szCs w:val="28"/>
        </w:rPr>
      </w:pPr>
      <w:r w:rsidRPr="003C1C70">
        <w:rPr>
          <w:sz w:val="28"/>
          <w:szCs w:val="28"/>
        </w:rPr>
        <w:t>Масленников Н.</w:t>
      </w:r>
      <w:r w:rsidR="007956D3">
        <w:rPr>
          <w:sz w:val="28"/>
          <w:szCs w:val="28"/>
        </w:rPr>
        <w:t xml:space="preserve">М. Российская экономика – </w:t>
      </w:r>
      <w:r w:rsidRPr="003C1C70">
        <w:rPr>
          <w:sz w:val="28"/>
          <w:szCs w:val="28"/>
        </w:rPr>
        <w:t>требуется ресурсный маневр // Доклад Института современного развития. Москва, 2012.</w:t>
      </w:r>
    </w:p>
    <w:p w:rsidR="00927478" w:rsidRDefault="00927478" w:rsidP="00CB7C64">
      <w:pPr>
        <w:numPr>
          <w:ilvl w:val="0"/>
          <w:numId w:val="1"/>
        </w:numPr>
        <w:tabs>
          <w:tab w:val="num" w:pos="840"/>
        </w:tabs>
        <w:spacing w:after="0" w:line="360" w:lineRule="auto"/>
        <w:ind w:left="426" w:hanging="426"/>
        <w:jc w:val="both"/>
        <w:rPr>
          <w:sz w:val="28"/>
          <w:szCs w:val="28"/>
        </w:rPr>
      </w:pPr>
      <w:r w:rsidRPr="00927478">
        <w:rPr>
          <w:sz w:val="28"/>
          <w:szCs w:val="28"/>
        </w:rPr>
        <w:t>Перспективы развития мировой экономики // Worldeconomicoutlook. Russian. Washington, DC: InternationalMonetaryFund, 2012.</w:t>
      </w:r>
    </w:p>
    <w:p w:rsidR="0030547D" w:rsidRDefault="001E191F" w:rsidP="0030547D">
      <w:pPr>
        <w:numPr>
          <w:ilvl w:val="0"/>
          <w:numId w:val="1"/>
        </w:numPr>
        <w:tabs>
          <w:tab w:val="num" w:pos="840"/>
        </w:tabs>
        <w:spacing w:after="0" w:line="360" w:lineRule="auto"/>
        <w:ind w:left="426" w:hanging="426"/>
        <w:jc w:val="both"/>
        <w:rPr>
          <w:sz w:val="28"/>
          <w:szCs w:val="28"/>
        </w:rPr>
      </w:pPr>
      <w:r w:rsidRPr="00AA562D">
        <w:rPr>
          <w:sz w:val="28"/>
          <w:szCs w:val="28"/>
        </w:rPr>
        <w:t>Петрикова Е.М. Суверенные фонды национального благосостояния страны как инструмент стабилизации финансового рынка // Финансы и кредит. – 2012. – № 10. – С. 39-50.</w:t>
      </w:r>
    </w:p>
    <w:p w:rsidR="008829C3" w:rsidRDefault="0030547D" w:rsidP="008829C3">
      <w:pPr>
        <w:numPr>
          <w:ilvl w:val="0"/>
          <w:numId w:val="1"/>
        </w:numPr>
        <w:tabs>
          <w:tab w:val="num" w:pos="840"/>
        </w:tabs>
        <w:spacing w:after="0" w:line="360" w:lineRule="auto"/>
        <w:ind w:left="426" w:hanging="426"/>
        <w:jc w:val="both"/>
        <w:rPr>
          <w:sz w:val="28"/>
          <w:szCs w:val="28"/>
        </w:rPr>
      </w:pPr>
      <w:r w:rsidRPr="0030547D">
        <w:rPr>
          <w:sz w:val="28"/>
          <w:szCs w:val="28"/>
        </w:rPr>
        <w:t>Пупынин К.Н</w:t>
      </w:r>
      <w:r w:rsidRPr="0030547D">
        <w:rPr>
          <w:rFonts w:eastAsia="Calibri"/>
          <w:sz w:val="28"/>
          <w:szCs w:val="28"/>
        </w:rPr>
        <w:t>.</w:t>
      </w:r>
      <w:r w:rsidRPr="0030547D">
        <w:rPr>
          <w:sz w:val="28"/>
          <w:szCs w:val="28"/>
        </w:rPr>
        <w:t xml:space="preserve"> Применение зарубежного опыта функционирования суверенныхинвестиционных фондов для Резервного фонда и Фонда национальногоблагосостояния РФ</w:t>
      </w:r>
      <w:r w:rsidRPr="0030547D">
        <w:rPr>
          <w:rFonts w:eastAsia="Calibri"/>
          <w:sz w:val="28"/>
          <w:szCs w:val="28"/>
        </w:rPr>
        <w:t>: автореф. ди</w:t>
      </w:r>
      <w:r>
        <w:rPr>
          <w:sz w:val="28"/>
          <w:szCs w:val="28"/>
        </w:rPr>
        <w:t>с.... канд. экон. наук. 08.00.14</w:t>
      </w:r>
      <w:r w:rsidRPr="008829C3">
        <w:rPr>
          <w:sz w:val="28"/>
          <w:szCs w:val="28"/>
        </w:rPr>
        <w:t xml:space="preserve">. М.: </w:t>
      </w:r>
      <w:r>
        <w:rPr>
          <w:sz w:val="28"/>
          <w:szCs w:val="28"/>
        </w:rPr>
        <w:t>Государственный университет управления. 2011</w:t>
      </w:r>
      <w:r w:rsidRPr="008829C3">
        <w:rPr>
          <w:sz w:val="28"/>
          <w:szCs w:val="28"/>
        </w:rPr>
        <w:t>.</w:t>
      </w:r>
    </w:p>
    <w:p w:rsidR="008829C3" w:rsidRPr="008829C3" w:rsidRDefault="008829C3" w:rsidP="008829C3">
      <w:pPr>
        <w:numPr>
          <w:ilvl w:val="0"/>
          <w:numId w:val="1"/>
        </w:numPr>
        <w:tabs>
          <w:tab w:val="num" w:pos="840"/>
        </w:tabs>
        <w:spacing w:after="0" w:line="360" w:lineRule="auto"/>
        <w:ind w:left="426" w:hanging="426"/>
        <w:jc w:val="both"/>
        <w:rPr>
          <w:sz w:val="28"/>
          <w:szCs w:val="28"/>
        </w:rPr>
      </w:pPr>
      <w:r w:rsidRPr="008829C3">
        <w:rPr>
          <w:sz w:val="28"/>
          <w:szCs w:val="28"/>
        </w:rPr>
        <w:t>Российская</w:t>
      </w:r>
      <w:r>
        <w:rPr>
          <w:sz w:val="28"/>
          <w:szCs w:val="28"/>
        </w:rPr>
        <w:t xml:space="preserve"> </w:t>
      </w:r>
      <w:r w:rsidRPr="008829C3">
        <w:rPr>
          <w:sz w:val="28"/>
          <w:szCs w:val="28"/>
        </w:rPr>
        <w:t>экономика</w:t>
      </w:r>
      <w:r>
        <w:rPr>
          <w:sz w:val="28"/>
          <w:szCs w:val="28"/>
        </w:rPr>
        <w:t xml:space="preserve"> </w:t>
      </w:r>
      <w:r w:rsidRPr="008829C3">
        <w:rPr>
          <w:sz w:val="28"/>
          <w:szCs w:val="28"/>
        </w:rPr>
        <w:t>в</w:t>
      </w:r>
      <w:r>
        <w:rPr>
          <w:sz w:val="28"/>
          <w:szCs w:val="28"/>
        </w:rPr>
        <w:t xml:space="preserve"> </w:t>
      </w:r>
      <w:r w:rsidRPr="008829C3">
        <w:rPr>
          <w:sz w:val="28"/>
          <w:szCs w:val="28"/>
        </w:rPr>
        <w:t>2011 году. Тенденции</w:t>
      </w:r>
      <w:r>
        <w:rPr>
          <w:sz w:val="28"/>
          <w:szCs w:val="28"/>
        </w:rPr>
        <w:t xml:space="preserve"> </w:t>
      </w:r>
      <w:r w:rsidRPr="008829C3">
        <w:rPr>
          <w:sz w:val="28"/>
          <w:szCs w:val="28"/>
        </w:rPr>
        <w:t>и</w:t>
      </w:r>
      <w:r>
        <w:rPr>
          <w:sz w:val="28"/>
          <w:szCs w:val="28"/>
        </w:rPr>
        <w:t xml:space="preserve"> </w:t>
      </w:r>
      <w:r w:rsidRPr="008829C3">
        <w:rPr>
          <w:sz w:val="28"/>
          <w:szCs w:val="28"/>
        </w:rPr>
        <w:t>перспективы. (Выпуск</w:t>
      </w:r>
      <w:r>
        <w:rPr>
          <w:sz w:val="28"/>
          <w:szCs w:val="28"/>
        </w:rPr>
        <w:t xml:space="preserve"> </w:t>
      </w:r>
      <w:r w:rsidRPr="008829C3">
        <w:rPr>
          <w:sz w:val="28"/>
          <w:szCs w:val="28"/>
        </w:rPr>
        <w:t>33)</w:t>
      </w:r>
      <w:r>
        <w:rPr>
          <w:sz w:val="28"/>
          <w:szCs w:val="28"/>
        </w:rPr>
        <w:t xml:space="preserve"> </w:t>
      </w:r>
      <w:r w:rsidRPr="008829C3">
        <w:rPr>
          <w:sz w:val="28"/>
          <w:szCs w:val="28"/>
        </w:rPr>
        <w:t>–</w:t>
      </w:r>
      <w:r>
        <w:rPr>
          <w:sz w:val="28"/>
          <w:szCs w:val="28"/>
        </w:rPr>
        <w:t xml:space="preserve"> </w:t>
      </w:r>
      <w:r w:rsidRPr="008829C3">
        <w:rPr>
          <w:sz w:val="28"/>
          <w:szCs w:val="28"/>
        </w:rPr>
        <w:t>М.: Институт</w:t>
      </w:r>
      <w:r>
        <w:rPr>
          <w:sz w:val="28"/>
          <w:szCs w:val="28"/>
        </w:rPr>
        <w:t xml:space="preserve"> </w:t>
      </w:r>
      <w:r w:rsidRPr="008829C3">
        <w:rPr>
          <w:sz w:val="28"/>
          <w:szCs w:val="28"/>
        </w:rPr>
        <w:t xml:space="preserve">Гайдара, 2012. 612 с. </w:t>
      </w:r>
    </w:p>
    <w:p w:rsidR="002F13D4" w:rsidRPr="00AA562D" w:rsidRDefault="00C513CE" w:rsidP="002F13D4">
      <w:pPr>
        <w:numPr>
          <w:ilvl w:val="0"/>
          <w:numId w:val="1"/>
        </w:numPr>
        <w:tabs>
          <w:tab w:val="num" w:pos="840"/>
        </w:tabs>
        <w:spacing w:after="0" w:line="360" w:lineRule="auto"/>
        <w:ind w:left="426" w:hanging="426"/>
        <w:jc w:val="both"/>
        <w:rPr>
          <w:sz w:val="28"/>
          <w:szCs w:val="28"/>
        </w:rPr>
      </w:pPr>
      <w:r w:rsidRPr="00AA562D">
        <w:rPr>
          <w:sz w:val="28"/>
          <w:szCs w:val="28"/>
        </w:rPr>
        <w:t>Серегина С. Стабилизационный фонд РФ: источники формирования, направления использования, макроэкономические функции (материалы к лекциям) // Российский экономический журнал. – 2006. – № 11-12. – С. 57-72.</w:t>
      </w:r>
    </w:p>
    <w:p w:rsidR="002F13D4" w:rsidRPr="00AA562D" w:rsidRDefault="002F13D4" w:rsidP="002F13D4">
      <w:pPr>
        <w:numPr>
          <w:ilvl w:val="0"/>
          <w:numId w:val="1"/>
        </w:numPr>
        <w:tabs>
          <w:tab w:val="num" w:pos="840"/>
        </w:tabs>
        <w:spacing w:after="0" w:line="360" w:lineRule="auto"/>
        <w:ind w:left="426" w:hanging="426"/>
        <w:jc w:val="both"/>
        <w:rPr>
          <w:sz w:val="28"/>
          <w:szCs w:val="28"/>
        </w:rPr>
      </w:pPr>
      <w:r w:rsidRPr="00AA562D">
        <w:rPr>
          <w:sz w:val="28"/>
          <w:szCs w:val="28"/>
        </w:rPr>
        <w:t>Сухарев А.Н. Стабилизационный фонд РФ: опыт государственного сбережения и стабилизации экономики в 2004-2007 гг. // Финансы и кредит. – 2010. –  №16.  – С. 41-49.</w:t>
      </w:r>
    </w:p>
    <w:p w:rsidR="006B4612" w:rsidRPr="00AA562D" w:rsidRDefault="006B4612" w:rsidP="006B4612">
      <w:pPr>
        <w:numPr>
          <w:ilvl w:val="0"/>
          <w:numId w:val="1"/>
        </w:numPr>
        <w:tabs>
          <w:tab w:val="num" w:pos="840"/>
        </w:tabs>
        <w:spacing w:after="0" w:line="360" w:lineRule="auto"/>
        <w:ind w:left="426" w:hanging="426"/>
        <w:jc w:val="both"/>
        <w:rPr>
          <w:sz w:val="28"/>
          <w:szCs w:val="28"/>
        </w:rPr>
      </w:pPr>
      <w:r w:rsidRPr="00AA562D">
        <w:rPr>
          <w:sz w:val="28"/>
          <w:szCs w:val="28"/>
        </w:rPr>
        <w:lastRenderedPageBreak/>
        <w:t>Сухарев А. Н. Финансовые механизмы формирования и использования суверенных фондов // Финансы и кредит. – 2010. – № 18. – С. 28-33</w:t>
      </w:r>
      <w:r w:rsidR="00BE7D8B" w:rsidRPr="00AA562D">
        <w:rPr>
          <w:sz w:val="28"/>
          <w:szCs w:val="28"/>
        </w:rPr>
        <w:t>.</w:t>
      </w:r>
    </w:p>
    <w:p w:rsidR="00982F47" w:rsidRDefault="006B3E93" w:rsidP="00982F47">
      <w:pPr>
        <w:numPr>
          <w:ilvl w:val="0"/>
          <w:numId w:val="1"/>
        </w:numPr>
        <w:tabs>
          <w:tab w:val="num" w:pos="840"/>
        </w:tabs>
        <w:spacing w:after="0" w:line="360" w:lineRule="auto"/>
        <w:ind w:left="426" w:hanging="426"/>
        <w:jc w:val="both"/>
        <w:rPr>
          <w:sz w:val="28"/>
          <w:szCs w:val="28"/>
        </w:rPr>
      </w:pPr>
      <w:r w:rsidRPr="00AA562D">
        <w:rPr>
          <w:sz w:val="28"/>
          <w:szCs w:val="28"/>
        </w:rPr>
        <w:t>Ховард К., Журавлева Г. Принципы экономики свободной рыночной системы (Экономикс). – М.: «Златоуст», 1995. – 326 с.</w:t>
      </w:r>
    </w:p>
    <w:p w:rsidR="003C1C70" w:rsidRDefault="00982F47" w:rsidP="003C1C70">
      <w:pPr>
        <w:numPr>
          <w:ilvl w:val="0"/>
          <w:numId w:val="1"/>
        </w:numPr>
        <w:tabs>
          <w:tab w:val="num" w:pos="840"/>
        </w:tabs>
        <w:spacing w:after="0" w:line="360" w:lineRule="auto"/>
        <w:ind w:left="426" w:hanging="426"/>
        <w:jc w:val="both"/>
        <w:rPr>
          <w:sz w:val="28"/>
          <w:szCs w:val="28"/>
        </w:rPr>
      </w:pPr>
      <w:r w:rsidRPr="00982F47">
        <w:rPr>
          <w:sz w:val="28"/>
          <w:szCs w:val="28"/>
        </w:rPr>
        <w:t xml:space="preserve">Эволюция бюджетной политики в России в 2000-х годах: в поисках финансовой устойчивости бюджетной системы страны/ </w:t>
      </w:r>
    </w:p>
    <w:p w:rsidR="003C1C70" w:rsidRDefault="00982F47" w:rsidP="003C1C70">
      <w:pPr>
        <w:spacing w:after="0" w:line="360" w:lineRule="auto"/>
        <w:ind w:left="426"/>
        <w:jc w:val="both"/>
        <w:rPr>
          <w:sz w:val="28"/>
          <w:szCs w:val="28"/>
        </w:rPr>
      </w:pPr>
      <w:r w:rsidRPr="003C1C70">
        <w:rPr>
          <w:sz w:val="28"/>
          <w:szCs w:val="28"/>
        </w:rPr>
        <w:t>С. Синельников-Мурылев [и др.]. – М. : Ин-т Гайдара, 2010. – 72 с. : ил. – (Научные труды / Ин-т эконом. политики им. Е. Т. Гайдара; № 147</w:t>
      </w:r>
      <w:r w:rsidRPr="003C1C70">
        <w:rPr>
          <w:sz w:val="28"/>
          <w:szCs w:val="28"/>
          <w:lang w:val="en-US"/>
        </w:rPr>
        <w:t>P</w:t>
      </w:r>
      <w:r w:rsidRPr="003C1C70">
        <w:rPr>
          <w:sz w:val="28"/>
          <w:szCs w:val="28"/>
        </w:rPr>
        <w:t>)</w:t>
      </w:r>
    </w:p>
    <w:p w:rsidR="003C1C70" w:rsidRDefault="003C1C70" w:rsidP="003C1C70">
      <w:pPr>
        <w:numPr>
          <w:ilvl w:val="0"/>
          <w:numId w:val="1"/>
        </w:numPr>
        <w:tabs>
          <w:tab w:val="num" w:pos="840"/>
        </w:tabs>
        <w:spacing w:after="0" w:line="360" w:lineRule="auto"/>
        <w:ind w:left="426" w:hanging="426"/>
        <w:jc w:val="both"/>
        <w:rPr>
          <w:sz w:val="28"/>
          <w:szCs w:val="28"/>
        </w:rPr>
      </w:pPr>
      <w:r w:rsidRPr="003C1C70">
        <w:rPr>
          <w:sz w:val="28"/>
          <w:szCs w:val="28"/>
        </w:rPr>
        <w:t>Ядгаров</w:t>
      </w:r>
      <w:r>
        <w:rPr>
          <w:sz w:val="28"/>
          <w:szCs w:val="28"/>
        </w:rPr>
        <w:t>Я.С. История экономических учений: Учебник для вузов. 3-е издание. – М.: Инфра-М. – 320 с.</w:t>
      </w:r>
    </w:p>
    <w:p w:rsidR="003C1C70" w:rsidRPr="00CF4388" w:rsidRDefault="003C1C70" w:rsidP="003C1C70">
      <w:pPr>
        <w:numPr>
          <w:ilvl w:val="0"/>
          <w:numId w:val="1"/>
        </w:numPr>
        <w:tabs>
          <w:tab w:val="num" w:pos="840"/>
        </w:tabs>
        <w:spacing w:after="0" w:line="360" w:lineRule="auto"/>
        <w:ind w:left="426" w:hanging="426"/>
        <w:jc w:val="both"/>
        <w:rPr>
          <w:sz w:val="28"/>
          <w:szCs w:val="28"/>
          <w:lang w:val="en-US"/>
        </w:rPr>
      </w:pPr>
      <w:r w:rsidRPr="00CF4388">
        <w:rPr>
          <w:sz w:val="28"/>
          <w:szCs w:val="28"/>
          <w:lang w:val="en-US"/>
        </w:rPr>
        <w:t>Annual Energy Outlook</w:t>
      </w:r>
      <w:r w:rsidR="00255681" w:rsidRPr="00CF4388">
        <w:rPr>
          <w:sz w:val="28"/>
          <w:szCs w:val="28"/>
          <w:lang w:val="en-US"/>
        </w:rPr>
        <w:t xml:space="preserve"> 2012 // U.S. Energy Information Administration (EIA), Washington, DC, 2012.</w:t>
      </w:r>
    </w:p>
    <w:p w:rsidR="00D8432E" w:rsidRPr="00AA562D" w:rsidRDefault="00D8432E" w:rsidP="004E6E96">
      <w:pPr>
        <w:numPr>
          <w:ilvl w:val="0"/>
          <w:numId w:val="1"/>
        </w:numPr>
        <w:tabs>
          <w:tab w:val="num" w:pos="840"/>
        </w:tabs>
        <w:spacing w:after="0" w:line="360" w:lineRule="auto"/>
        <w:ind w:left="426" w:hanging="426"/>
        <w:jc w:val="both"/>
        <w:rPr>
          <w:sz w:val="28"/>
          <w:szCs w:val="28"/>
          <w:lang w:val="en-US"/>
        </w:rPr>
      </w:pPr>
      <w:r w:rsidRPr="00AA562D">
        <w:rPr>
          <w:sz w:val="28"/>
          <w:szCs w:val="28"/>
          <w:lang w:val="en-US"/>
        </w:rPr>
        <w:t xml:space="preserve">Auty, R. </w:t>
      </w:r>
      <w:r w:rsidR="00A72201" w:rsidRPr="00AA562D">
        <w:rPr>
          <w:sz w:val="28"/>
          <w:szCs w:val="28"/>
          <w:lang w:val="en-US"/>
        </w:rPr>
        <w:t>Resource A</w:t>
      </w:r>
      <w:r w:rsidRPr="00AA562D">
        <w:rPr>
          <w:sz w:val="28"/>
          <w:szCs w:val="28"/>
          <w:lang w:val="en-US"/>
        </w:rPr>
        <w:t>bundance</w:t>
      </w:r>
      <w:r w:rsidR="00A72201" w:rsidRPr="00AA562D">
        <w:rPr>
          <w:sz w:val="28"/>
          <w:szCs w:val="28"/>
          <w:lang w:val="en-US"/>
        </w:rPr>
        <w:t xml:space="preserve"> and Economic D</w:t>
      </w:r>
      <w:r w:rsidRPr="00AA562D">
        <w:rPr>
          <w:sz w:val="28"/>
          <w:szCs w:val="28"/>
          <w:lang w:val="en-US"/>
        </w:rPr>
        <w:t>evelopment // Oxford: Oxford University Press, 2001.</w:t>
      </w:r>
    </w:p>
    <w:p w:rsidR="006C358C" w:rsidRPr="00AA562D" w:rsidRDefault="00644514" w:rsidP="006C358C">
      <w:pPr>
        <w:pStyle w:val="a8"/>
        <w:numPr>
          <w:ilvl w:val="0"/>
          <w:numId w:val="1"/>
        </w:numPr>
        <w:spacing w:after="0" w:line="360" w:lineRule="auto"/>
        <w:ind w:left="426" w:hanging="426"/>
        <w:jc w:val="both"/>
        <w:rPr>
          <w:sz w:val="28"/>
          <w:szCs w:val="28"/>
          <w:lang w:val="en-US"/>
        </w:rPr>
      </w:pPr>
      <w:r w:rsidRPr="00AA562D">
        <w:rPr>
          <w:sz w:val="28"/>
          <w:szCs w:val="28"/>
          <w:lang w:val="en-US"/>
        </w:rPr>
        <w:t xml:space="preserve">Corden, W.M. </w:t>
      </w:r>
      <w:r w:rsidR="00A72201" w:rsidRPr="00AA562D">
        <w:rPr>
          <w:sz w:val="28"/>
          <w:szCs w:val="28"/>
          <w:lang w:val="en-US"/>
        </w:rPr>
        <w:t>Booming Sector and Dutch Disease E</w:t>
      </w:r>
      <w:r w:rsidRPr="00AA562D">
        <w:rPr>
          <w:sz w:val="28"/>
          <w:szCs w:val="28"/>
          <w:lang w:val="en-US"/>
        </w:rPr>
        <w:t xml:space="preserve">conomics: Survey and </w:t>
      </w:r>
      <w:r w:rsidR="00A72201" w:rsidRPr="00AA562D">
        <w:rPr>
          <w:sz w:val="28"/>
          <w:szCs w:val="28"/>
          <w:lang w:val="en-US"/>
        </w:rPr>
        <w:t>C</w:t>
      </w:r>
      <w:r w:rsidRPr="00AA562D">
        <w:rPr>
          <w:sz w:val="28"/>
          <w:szCs w:val="28"/>
          <w:lang w:val="en-US"/>
        </w:rPr>
        <w:t>onsolidation // Oxford Economic Papers, 1984. Vol.36.</w:t>
      </w:r>
    </w:p>
    <w:p w:rsidR="006C358C" w:rsidRPr="00AA562D" w:rsidRDefault="006C358C" w:rsidP="006C358C">
      <w:pPr>
        <w:pStyle w:val="a8"/>
        <w:numPr>
          <w:ilvl w:val="0"/>
          <w:numId w:val="1"/>
        </w:numPr>
        <w:spacing w:after="0" w:line="360" w:lineRule="auto"/>
        <w:ind w:left="426" w:hanging="426"/>
        <w:jc w:val="both"/>
        <w:rPr>
          <w:sz w:val="28"/>
          <w:szCs w:val="28"/>
          <w:lang w:val="en-US"/>
        </w:rPr>
      </w:pPr>
      <w:r w:rsidRPr="00AA562D">
        <w:rPr>
          <w:bCs/>
          <w:sz w:val="28"/>
          <w:szCs w:val="28"/>
          <w:lang w:val="en-US"/>
        </w:rPr>
        <w:t xml:space="preserve">Davis, J., Ossowski, R., Daniel, J. A., and Barnett, S., </w:t>
      </w:r>
      <w:r w:rsidRPr="00AA562D">
        <w:rPr>
          <w:iCs/>
          <w:sz w:val="28"/>
          <w:szCs w:val="28"/>
          <w:lang w:val="en-US"/>
        </w:rPr>
        <w:t>Stabilization and Savings Funds for Nonrenewable Resources.</w:t>
      </w:r>
      <w:r w:rsidRPr="00AA562D">
        <w:rPr>
          <w:bCs/>
          <w:sz w:val="28"/>
          <w:szCs w:val="28"/>
          <w:lang w:val="en-US"/>
        </w:rPr>
        <w:t xml:space="preserve"> In Fiscal Policy Formulation and Implementation in Oil Producing Countries, (Davis, J.M., Ossowski, R., and Fedilino, A., (eds.) Washington D.C.: IMF 2003).</w:t>
      </w:r>
    </w:p>
    <w:p w:rsidR="006C358C" w:rsidRPr="00AA562D" w:rsidRDefault="006C358C" w:rsidP="006C358C">
      <w:pPr>
        <w:pStyle w:val="a8"/>
        <w:numPr>
          <w:ilvl w:val="0"/>
          <w:numId w:val="1"/>
        </w:numPr>
        <w:spacing w:after="0" w:line="360" w:lineRule="auto"/>
        <w:ind w:left="426" w:hanging="426"/>
        <w:jc w:val="both"/>
        <w:rPr>
          <w:sz w:val="28"/>
          <w:szCs w:val="28"/>
          <w:lang w:val="en-US"/>
        </w:rPr>
      </w:pPr>
      <w:r w:rsidRPr="00AA562D">
        <w:rPr>
          <w:sz w:val="28"/>
          <w:szCs w:val="28"/>
          <w:lang w:val="en-US"/>
        </w:rPr>
        <w:t>Fasano U. Review of the Experience with Oil Stabilization and Savings Funds in Selected Countries. IMF Working Paper. Washington D.C.: IMF 2000.</w:t>
      </w:r>
    </w:p>
    <w:p w:rsidR="00D8432E" w:rsidRPr="00AA562D" w:rsidRDefault="00D8432E" w:rsidP="006C358C">
      <w:pPr>
        <w:pStyle w:val="a8"/>
        <w:numPr>
          <w:ilvl w:val="0"/>
          <w:numId w:val="1"/>
        </w:numPr>
        <w:spacing w:after="0" w:line="360" w:lineRule="auto"/>
        <w:ind w:left="426" w:hanging="426"/>
        <w:jc w:val="both"/>
        <w:rPr>
          <w:sz w:val="28"/>
          <w:szCs w:val="28"/>
          <w:lang w:val="en-US"/>
        </w:rPr>
      </w:pPr>
      <w:r w:rsidRPr="00AA562D">
        <w:rPr>
          <w:sz w:val="28"/>
          <w:szCs w:val="28"/>
          <w:lang w:val="en-US"/>
        </w:rPr>
        <w:t>Gylfason T. National Resources and Economic Growth: What is the Connection? // CESifo Working Paper, 2001. No. 530</w:t>
      </w:r>
      <w:r w:rsidR="00A72201" w:rsidRPr="00AA562D">
        <w:rPr>
          <w:sz w:val="28"/>
          <w:szCs w:val="28"/>
          <w:lang w:val="en-US"/>
        </w:rPr>
        <w:t>. August.</w:t>
      </w:r>
    </w:p>
    <w:p w:rsidR="00CD18B4" w:rsidRPr="00AA562D" w:rsidRDefault="00B839F5" w:rsidP="004E6E96">
      <w:pPr>
        <w:pStyle w:val="a8"/>
        <w:numPr>
          <w:ilvl w:val="0"/>
          <w:numId w:val="1"/>
        </w:numPr>
        <w:spacing w:after="0" w:line="360" w:lineRule="auto"/>
        <w:ind w:left="426" w:hanging="426"/>
        <w:jc w:val="both"/>
        <w:rPr>
          <w:sz w:val="28"/>
          <w:szCs w:val="28"/>
          <w:lang w:val="en-US"/>
        </w:rPr>
      </w:pPr>
      <w:r w:rsidRPr="00AA562D">
        <w:rPr>
          <w:sz w:val="28"/>
          <w:szCs w:val="28"/>
          <w:lang w:val="en-US"/>
        </w:rPr>
        <w:t>Murphy, K., Schleifer</w:t>
      </w:r>
      <w:r w:rsidR="00644514" w:rsidRPr="00AA562D">
        <w:rPr>
          <w:sz w:val="28"/>
          <w:szCs w:val="28"/>
          <w:lang w:val="en-US"/>
        </w:rPr>
        <w:t xml:space="preserve">, A. and Vishny, R.W. </w:t>
      </w:r>
      <w:r w:rsidR="00A72201" w:rsidRPr="00AA562D">
        <w:rPr>
          <w:sz w:val="28"/>
          <w:szCs w:val="28"/>
          <w:lang w:val="en-US"/>
        </w:rPr>
        <w:t>Industrialisation and the Big P</w:t>
      </w:r>
      <w:r w:rsidRPr="00AA562D">
        <w:rPr>
          <w:sz w:val="28"/>
          <w:szCs w:val="28"/>
          <w:lang w:val="en-US"/>
        </w:rPr>
        <w:t>ush</w:t>
      </w:r>
      <w:r w:rsidR="00644514" w:rsidRPr="00AA562D">
        <w:rPr>
          <w:sz w:val="28"/>
          <w:szCs w:val="28"/>
          <w:lang w:val="en-US"/>
        </w:rPr>
        <w:t xml:space="preserve">// </w:t>
      </w:r>
      <w:r w:rsidRPr="00AA562D">
        <w:rPr>
          <w:sz w:val="28"/>
          <w:szCs w:val="28"/>
          <w:lang w:val="en-US"/>
        </w:rPr>
        <w:t xml:space="preserve">Journal of PoliticalEconomy, </w:t>
      </w:r>
      <w:r w:rsidR="00644514" w:rsidRPr="00AA562D">
        <w:rPr>
          <w:sz w:val="28"/>
          <w:szCs w:val="28"/>
          <w:lang w:val="en-US"/>
        </w:rPr>
        <w:t>1989. Vol. 97, No.5.</w:t>
      </w:r>
      <w:r w:rsidRPr="00AA562D">
        <w:rPr>
          <w:sz w:val="28"/>
          <w:szCs w:val="28"/>
          <w:lang w:val="en-US"/>
        </w:rPr>
        <w:t xml:space="preserve"> October.</w:t>
      </w:r>
    </w:p>
    <w:p w:rsidR="00CD18B4" w:rsidRPr="00AA562D" w:rsidRDefault="00CD18B4" w:rsidP="004E6E96">
      <w:pPr>
        <w:pStyle w:val="a8"/>
        <w:numPr>
          <w:ilvl w:val="0"/>
          <w:numId w:val="1"/>
        </w:numPr>
        <w:spacing w:after="0" w:line="360" w:lineRule="auto"/>
        <w:ind w:left="426" w:hanging="426"/>
        <w:jc w:val="both"/>
        <w:rPr>
          <w:sz w:val="28"/>
          <w:szCs w:val="28"/>
          <w:lang w:val="en-US"/>
        </w:rPr>
      </w:pPr>
      <w:r w:rsidRPr="00AA562D">
        <w:rPr>
          <w:sz w:val="28"/>
          <w:szCs w:val="28"/>
          <w:lang w:val="en-US"/>
        </w:rPr>
        <w:t xml:space="preserve">Stevens, P. Resource Impact: Curse or Blessing? // Journal of Energy Literature, </w:t>
      </w:r>
      <w:r w:rsidR="000C1F58" w:rsidRPr="00AA562D">
        <w:rPr>
          <w:sz w:val="28"/>
          <w:szCs w:val="28"/>
          <w:lang w:val="en-US"/>
        </w:rPr>
        <w:t>2003.</w:t>
      </w:r>
      <w:r w:rsidR="00E937EE" w:rsidRPr="00AA562D">
        <w:rPr>
          <w:sz w:val="28"/>
          <w:szCs w:val="28"/>
          <w:lang w:val="en-US"/>
        </w:rPr>
        <w:t xml:space="preserve"> Vol. 1,</w:t>
      </w:r>
      <w:r w:rsidR="000C1F58" w:rsidRPr="00AA562D">
        <w:rPr>
          <w:sz w:val="28"/>
          <w:szCs w:val="28"/>
          <w:lang w:val="en-US"/>
        </w:rPr>
        <w:t xml:space="preserve"> No</w:t>
      </w:r>
      <w:r w:rsidR="00E937EE" w:rsidRPr="00AA562D">
        <w:rPr>
          <w:sz w:val="28"/>
          <w:szCs w:val="28"/>
          <w:lang w:val="en-US"/>
        </w:rPr>
        <w:t xml:space="preserve">. </w:t>
      </w:r>
      <w:r w:rsidR="000C1F58" w:rsidRPr="00AA562D">
        <w:rPr>
          <w:sz w:val="28"/>
          <w:szCs w:val="28"/>
          <w:lang w:val="en-US"/>
        </w:rPr>
        <w:t>1</w:t>
      </w:r>
      <w:r w:rsidR="00E937EE" w:rsidRPr="00AA562D">
        <w:rPr>
          <w:sz w:val="28"/>
          <w:szCs w:val="28"/>
          <w:lang w:val="en-US"/>
        </w:rPr>
        <w:t>.</w:t>
      </w:r>
    </w:p>
    <w:p w:rsidR="00A72201" w:rsidRPr="00AA562D" w:rsidRDefault="00A72201" w:rsidP="004E6E96">
      <w:pPr>
        <w:pStyle w:val="a8"/>
        <w:numPr>
          <w:ilvl w:val="0"/>
          <w:numId w:val="1"/>
        </w:numPr>
        <w:spacing w:after="0" w:line="360" w:lineRule="auto"/>
        <w:ind w:left="426" w:hanging="426"/>
        <w:rPr>
          <w:sz w:val="28"/>
          <w:szCs w:val="28"/>
          <w:lang w:val="en-US"/>
        </w:rPr>
      </w:pPr>
      <w:r w:rsidRPr="00AA562D">
        <w:rPr>
          <w:sz w:val="28"/>
          <w:szCs w:val="28"/>
          <w:lang w:val="en-US"/>
        </w:rPr>
        <w:lastRenderedPageBreak/>
        <w:t>Tsui K. More Oil, Less Democracy? Theory and Evidence from Crude Oil Discoveries. 2005. (</w:t>
      </w:r>
      <w:hyperlink r:id="rId22" w:history="1">
        <w:r w:rsidRPr="00AA562D">
          <w:rPr>
            <w:rStyle w:val="a9"/>
            <w:sz w:val="28"/>
            <w:szCs w:val="28"/>
            <w:lang w:val="en-US"/>
          </w:rPr>
          <w:t>http://areweb.berkeley.edu/fields/erep/seminar/s2006/KTsuijobmarketpaper.pdf</w:t>
        </w:r>
      </w:hyperlink>
      <w:r w:rsidRPr="00AA562D">
        <w:rPr>
          <w:sz w:val="28"/>
          <w:szCs w:val="28"/>
          <w:lang w:val="en-US"/>
        </w:rPr>
        <w:t xml:space="preserve">)   </w:t>
      </w:r>
    </w:p>
    <w:p w:rsidR="00A17F0E" w:rsidRPr="00AA562D" w:rsidRDefault="00A17F0E" w:rsidP="004E6E96">
      <w:pPr>
        <w:pStyle w:val="a8"/>
        <w:numPr>
          <w:ilvl w:val="0"/>
          <w:numId w:val="1"/>
        </w:numPr>
        <w:spacing w:after="0" w:line="360" w:lineRule="auto"/>
        <w:ind w:left="426" w:hanging="426"/>
        <w:rPr>
          <w:sz w:val="28"/>
          <w:szCs w:val="28"/>
          <w:lang w:val="en-US"/>
        </w:rPr>
      </w:pPr>
      <w:r w:rsidRPr="00AA562D">
        <w:rPr>
          <w:sz w:val="28"/>
          <w:szCs w:val="28"/>
          <w:lang w:val="en-US"/>
        </w:rPr>
        <w:t>UN Millennium Project. 2005. Investing in Development: A Practical Plan to Achieve the Millennium Development Goals. New York: Earthscan.</w:t>
      </w:r>
    </w:p>
    <w:p w:rsidR="00CF4388" w:rsidRPr="00CF4388" w:rsidRDefault="002324F4" w:rsidP="00CF4388">
      <w:pPr>
        <w:pStyle w:val="a8"/>
        <w:numPr>
          <w:ilvl w:val="0"/>
          <w:numId w:val="1"/>
        </w:numPr>
        <w:spacing w:after="0" w:line="360" w:lineRule="auto"/>
        <w:ind w:left="426" w:hanging="426"/>
        <w:jc w:val="both"/>
        <w:rPr>
          <w:sz w:val="28"/>
          <w:szCs w:val="28"/>
          <w:lang w:val="en-US"/>
        </w:rPr>
      </w:pPr>
      <w:r w:rsidRPr="00AA562D">
        <w:rPr>
          <w:sz w:val="28"/>
          <w:szCs w:val="28"/>
          <w:lang w:val="en-US"/>
        </w:rPr>
        <w:t xml:space="preserve">Watkins M. H. A Staple Theory of Economic Growth// Canadian Journal of </w:t>
      </w:r>
      <w:r w:rsidR="00644514" w:rsidRPr="00AA562D">
        <w:rPr>
          <w:sz w:val="28"/>
          <w:szCs w:val="28"/>
          <w:lang w:val="en-US"/>
        </w:rPr>
        <w:t>Economics and Political Science,</w:t>
      </w:r>
      <w:r w:rsidRPr="00AA562D">
        <w:rPr>
          <w:sz w:val="28"/>
          <w:szCs w:val="28"/>
          <w:lang w:val="en-US"/>
        </w:rPr>
        <w:t xml:space="preserve"> 1963. Vol. 29. May</w:t>
      </w:r>
      <w:r w:rsidR="00644514" w:rsidRPr="00AA562D">
        <w:rPr>
          <w:sz w:val="28"/>
          <w:szCs w:val="28"/>
          <w:lang w:val="en-US"/>
        </w:rPr>
        <w:t>.</w:t>
      </w:r>
    </w:p>
    <w:p w:rsidR="00CF4388" w:rsidRDefault="00CF4388" w:rsidP="00CF4388">
      <w:pPr>
        <w:pStyle w:val="a8"/>
        <w:numPr>
          <w:ilvl w:val="0"/>
          <w:numId w:val="1"/>
        </w:numPr>
        <w:spacing w:after="0" w:line="360" w:lineRule="auto"/>
        <w:ind w:left="426" w:hanging="426"/>
        <w:jc w:val="both"/>
        <w:rPr>
          <w:sz w:val="28"/>
          <w:szCs w:val="28"/>
        </w:rPr>
      </w:pPr>
      <w:r w:rsidRPr="00CF4388">
        <w:rPr>
          <w:rFonts w:eastAsia="Calibri"/>
          <w:sz w:val="28"/>
          <w:szCs w:val="28"/>
        </w:rPr>
        <w:t>Официальный сайт Министерства финансов Российской Федерации (</w:t>
      </w:r>
      <w:hyperlink r:id="rId23" w:history="1">
        <w:r w:rsidRPr="006C7F0D">
          <w:rPr>
            <w:rStyle w:val="a9"/>
            <w:sz w:val="28"/>
            <w:szCs w:val="28"/>
          </w:rPr>
          <w:t>http://www.roskazna.ru/</w:t>
        </w:r>
      </w:hyperlink>
      <w:r>
        <w:rPr>
          <w:sz w:val="28"/>
          <w:szCs w:val="28"/>
        </w:rPr>
        <w:t xml:space="preserve">) </w:t>
      </w:r>
    </w:p>
    <w:p w:rsidR="00CF4388" w:rsidRDefault="00CF4388" w:rsidP="009C2687">
      <w:pPr>
        <w:pStyle w:val="a8"/>
        <w:numPr>
          <w:ilvl w:val="0"/>
          <w:numId w:val="1"/>
        </w:numPr>
        <w:spacing w:after="0" w:line="360" w:lineRule="auto"/>
        <w:ind w:left="426" w:hanging="426"/>
        <w:jc w:val="both"/>
        <w:rPr>
          <w:sz w:val="28"/>
          <w:szCs w:val="28"/>
        </w:rPr>
      </w:pPr>
      <w:r w:rsidRPr="00CF4388">
        <w:rPr>
          <w:rFonts w:eastAsia="Calibri"/>
          <w:sz w:val="28"/>
          <w:szCs w:val="28"/>
        </w:rPr>
        <w:t xml:space="preserve">Официальный сайт Федерального </w:t>
      </w:r>
      <w:r>
        <w:rPr>
          <w:sz w:val="28"/>
          <w:szCs w:val="28"/>
        </w:rPr>
        <w:t>к</w:t>
      </w:r>
      <w:r w:rsidRPr="00CF4388">
        <w:rPr>
          <w:rFonts w:eastAsia="Calibri"/>
          <w:sz w:val="28"/>
          <w:szCs w:val="28"/>
        </w:rPr>
        <w:t>азначейства Российской Федерации (</w:t>
      </w:r>
      <w:hyperlink r:id="rId24" w:history="1">
        <w:r w:rsidRPr="006C7F0D">
          <w:rPr>
            <w:rStyle w:val="a9"/>
            <w:sz w:val="28"/>
            <w:szCs w:val="28"/>
          </w:rPr>
          <w:t>http://www.roskazna.ru/</w:t>
        </w:r>
      </w:hyperlink>
      <w:r>
        <w:rPr>
          <w:sz w:val="28"/>
          <w:szCs w:val="28"/>
        </w:rPr>
        <w:t xml:space="preserve">) </w:t>
      </w:r>
    </w:p>
    <w:p w:rsidR="00CF4388" w:rsidRPr="00CF4388" w:rsidRDefault="00CF4388" w:rsidP="009C2687">
      <w:pPr>
        <w:pStyle w:val="a8"/>
        <w:numPr>
          <w:ilvl w:val="0"/>
          <w:numId w:val="1"/>
        </w:numPr>
        <w:spacing w:after="0" w:line="360" w:lineRule="auto"/>
        <w:ind w:left="426" w:hanging="426"/>
        <w:jc w:val="both"/>
        <w:rPr>
          <w:sz w:val="28"/>
          <w:szCs w:val="28"/>
        </w:rPr>
      </w:pPr>
      <w:r>
        <w:rPr>
          <w:sz w:val="28"/>
          <w:szCs w:val="28"/>
        </w:rPr>
        <w:t>О</w:t>
      </w:r>
      <w:r w:rsidRPr="00CF4388">
        <w:rPr>
          <w:sz w:val="28"/>
          <w:szCs w:val="28"/>
        </w:rPr>
        <w:t>фициальный сайт Федеральной службы государственной статистики (</w:t>
      </w:r>
      <w:hyperlink r:id="rId25" w:history="1">
        <w:r w:rsidRPr="00CF4388">
          <w:rPr>
            <w:rStyle w:val="a9"/>
            <w:sz w:val="28"/>
            <w:szCs w:val="28"/>
          </w:rPr>
          <w:t>http://www.gks.ru/</w:t>
        </w:r>
      </w:hyperlink>
      <w:r w:rsidRPr="00CF4388">
        <w:rPr>
          <w:sz w:val="28"/>
          <w:szCs w:val="28"/>
        </w:rPr>
        <w:t xml:space="preserve">) </w:t>
      </w:r>
    </w:p>
    <w:p w:rsidR="009C2687" w:rsidRPr="003C1C70" w:rsidRDefault="009C2687" w:rsidP="003C1C70">
      <w:pPr>
        <w:spacing w:after="0" w:line="360" w:lineRule="auto"/>
        <w:jc w:val="both"/>
        <w:rPr>
          <w:sz w:val="28"/>
          <w:szCs w:val="28"/>
        </w:rPr>
      </w:pPr>
    </w:p>
    <w:p w:rsidR="002324F4" w:rsidRPr="00927478" w:rsidRDefault="002324F4" w:rsidP="004E6E96">
      <w:pPr>
        <w:spacing w:after="0" w:line="360" w:lineRule="auto"/>
        <w:ind w:left="851"/>
        <w:jc w:val="both"/>
        <w:rPr>
          <w:sz w:val="26"/>
          <w:szCs w:val="26"/>
        </w:rPr>
      </w:pPr>
    </w:p>
    <w:p w:rsidR="001A114C" w:rsidRPr="00927478" w:rsidRDefault="001A114C" w:rsidP="004E6E96">
      <w:pPr>
        <w:spacing w:after="0" w:line="360" w:lineRule="auto"/>
        <w:ind w:firstLine="851"/>
        <w:jc w:val="both"/>
        <w:rPr>
          <w:sz w:val="26"/>
          <w:szCs w:val="26"/>
        </w:rPr>
      </w:pPr>
    </w:p>
    <w:p w:rsidR="000E374C" w:rsidRPr="00927478" w:rsidRDefault="000E374C" w:rsidP="004E6E96">
      <w:pPr>
        <w:spacing w:after="0" w:line="360" w:lineRule="auto"/>
        <w:ind w:firstLine="851"/>
        <w:jc w:val="both"/>
        <w:rPr>
          <w:sz w:val="26"/>
          <w:szCs w:val="26"/>
        </w:rPr>
      </w:pPr>
    </w:p>
    <w:p w:rsidR="000E374C" w:rsidRPr="00927478" w:rsidRDefault="000E374C" w:rsidP="004E6E96">
      <w:pPr>
        <w:spacing w:after="0" w:line="360" w:lineRule="auto"/>
        <w:ind w:firstLine="851"/>
        <w:jc w:val="both"/>
        <w:rPr>
          <w:sz w:val="26"/>
          <w:szCs w:val="26"/>
        </w:rPr>
      </w:pPr>
    </w:p>
    <w:p w:rsidR="008B4EA6" w:rsidRPr="00927478" w:rsidRDefault="008B4EA6" w:rsidP="004E6E96">
      <w:pPr>
        <w:spacing w:after="0" w:line="360" w:lineRule="auto"/>
        <w:ind w:firstLine="851"/>
        <w:jc w:val="both"/>
        <w:rPr>
          <w:sz w:val="26"/>
          <w:szCs w:val="26"/>
        </w:rPr>
      </w:pPr>
    </w:p>
    <w:p w:rsidR="008B4EA6" w:rsidRPr="00927478" w:rsidRDefault="008B4EA6">
      <w:pPr>
        <w:rPr>
          <w:sz w:val="26"/>
          <w:szCs w:val="26"/>
        </w:rPr>
      </w:pPr>
      <w:r w:rsidRPr="00927478">
        <w:rPr>
          <w:sz w:val="26"/>
          <w:szCs w:val="26"/>
        </w:rPr>
        <w:br w:type="page"/>
      </w:r>
    </w:p>
    <w:p w:rsidR="008B4EA6" w:rsidRPr="008B4EA6" w:rsidRDefault="008B4EA6" w:rsidP="008B4EA6">
      <w:pPr>
        <w:pStyle w:val="1"/>
        <w:jc w:val="right"/>
        <w:rPr>
          <w:i/>
          <w:sz w:val="26"/>
          <w:szCs w:val="26"/>
        </w:rPr>
      </w:pPr>
      <w:bookmarkStart w:id="22" w:name="_Toc356172743"/>
      <w:r>
        <w:lastRenderedPageBreak/>
        <w:t>Приложение 1</w:t>
      </w:r>
      <w:bookmarkEnd w:id="22"/>
    </w:p>
    <w:p w:rsidR="008B4EA6" w:rsidRPr="00AD6D42" w:rsidRDefault="008B4EA6" w:rsidP="008B4EA6">
      <w:pPr>
        <w:spacing w:after="0"/>
        <w:jc w:val="center"/>
        <w:rPr>
          <w:b/>
          <w:sz w:val="26"/>
          <w:szCs w:val="26"/>
        </w:rPr>
      </w:pPr>
      <w:r w:rsidRPr="00AD6D42">
        <w:rPr>
          <w:b/>
          <w:sz w:val="26"/>
          <w:szCs w:val="26"/>
        </w:rPr>
        <w:t>Антикризисная политика Правительства РФ в 2008-2010 гг. в части управления нефтегазовыми доходами</w:t>
      </w:r>
    </w:p>
    <w:tbl>
      <w:tblPr>
        <w:tblStyle w:val="af2"/>
        <w:tblpPr w:leftFromText="180" w:rightFromText="180" w:vertAnchor="text" w:tblpY="1"/>
        <w:tblOverlap w:val="never"/>
        <w:tblW w:w="0" w:type="auto"/>
        <w:tblLook w:val="04A0"/>
      </w:tblPr>
      <w:tblGrid>
        <w:gridCol w:w="3369"/>
        <w:gridCol w:w="5917"/>
      </w:tblGrid>
      <w:tr w:rsidR="008B4EA6" w:rsidRPr="00AD79D2" w:rsidTr="00B75F4A">
        <w:tc>
          <w:tcPr>
            <w:tcW w:w="3369" w:type="dxa"/>
          </w:tcPr>
          <w:p w:rsidR="008B4EA6" w:rsidRPr="00AD79D2" w:rsidRDefault="008B4EA6" w:rsidP="00B75F4A">
            <w:pPr>
              <w:spacing w:after="120"/>
              <w:rPr>
                <w:b/>
              </w:rPr>
            </w:pPr>
            <w:r w:rsidRPr="00AD79D2">
              <w:t>Федеральный закон от 13 октября 2008 года № 173-ФЗ «О дополнительных мерах по поддержке финансовой системы Российской Федерации»</w:t>
            </w:r>
          </w:p>
        </w:tc>
        <w:tc>
          <w:tcPr>
            <w:tcW w:w="5917" w:type="dxa"/>
            <w:vAlign w:val="center"/>
          </w:tcPr>
          <w:p w:rsidR="008B4EA6" w:rsidRPr="00AD79D2" w:rsidRDefault="008B4EA6" w:rsidP="00B75F4A">
            <w:pPr>
              <w:spacing w:after="120"/>
              <w:rPr>
                <w:b/>
              </w:rPr>
            </w:pPr>
            <w:r w:rsidRPr="00AD79D2">
              <w:t>Средства Фонда национального благосостояния могут быть размещены во Внешэкономбанке на депозиты сроком до 31 декабря 2019 г. включительно на общую сумму не более 450 млрд. рублей. Эти средства будут направлены на выдачу кредитов ОАО «Банк ВТБ» и ОАО «Россельхозбанк», а также другим российским кредитным организациям при соблюдении ими определенных условий.</w:t>
            </w:r>
          </w:p>
        </w:tc>
      </w:tr>
      <w:tr w:rsidR="008B4EA6" w:rsidRPr="00AD79D2" w:rsidTr="00B75F4A">
        <w:tc>
          <w:tcPr>
            <w:tcW w:w="3369" w:type="dxa"/>
          </w:tcPr>
          <w:p w:rsidR="008B4EA6" w:rsidRPr="00AD79D2" w:rsidRDefault="008B4EA6" w:rsidP="00B75F4A">
            <w:pPr>
              <w:spacing w:after="120"/>
              <w:rPr>
                <w:b/>
              </w:rPr>
            </w:pPr>
            <w:r w:rsidRPr="00AD79D2">
              <w:t>Постановление Правительства РФ от 15 октября 2008 г. № 766 «О внесении изменений в постановление Правительства Российской Федерации от 19 января 2008 г. № 18»</w:t>
            </w:r>
          </w:p>
        </w:tc>
        <w:tc>
          <w:tcPr>
            <w:tcW w:w="5917" w:type="dxa"/>
            <w:vAlign w:val="center"/>
          </w:tcPr>
          <w:p w:rsidR="008B4EA6" w:rsidRPr="00AD79D2" w:rsidRDefault="008B4EA6" w:rsidP="00B75F4A">
            <w:pPr>
              <w:spacing w:after="120"/>
            </w:pPr>
            <w:r w:rsidRPr="00AD79D2">
              <w:t>Скорректирован порядок управления средствами Фонда национального благосостояния:</w:t>
            </w:r>
          </w:p>
          <w:p w:rsidR="008B4EA6" w:rsidRPr="00AD79D2" w:rsidRDefault="008B4EA6" w:rsidP="00B75F4A">
            <w:pPr>
              <w:spacing w:after="120"/>
            </w:pPr>
            <w:r w:rsidRPr="00AD79D2">
              <w:t>- определены условия размещения средств Фонда на депозитах во Внешэкономбанке;</w:t>
            </w:r>
          </w:p>
          <w:p w:rsidR="008B4EA6" w:rsidRPr="00AD79D2" w:rsidRDefault="008B4EA6" w:rsidP="00B75F4A">
            <w:pPr>
              <w:spacing w:after="120"/>
            </w:pPr>
            <w:r w:rsidRPr="00AD79D2">
              <w:t>- перечень финансовых активов, в которые разрешено размещать средства Фонда, дополнен долговыми обязательствами и акциями юридических лиц, а также паями (долями участия) инвестиционных фондов;</w:t>
            </w:r>
          </w:p>
          <w:p w:rsidR="008B4EA6" w:rsidRPr="00AD79D2" w:rsidRDefault="008B4EA6" w:rsidP="00B75F4A">
            <w:pPr>
              <w:spacing w:after="120"/>
            </w:pPr>
            <w:r w:rsidRPr="00AD79D2">
              <w:t>- отменяется требование о том, чтобы в общем объеме размещенных средств Фонда доля долговых обязательств иностранных государств составляла не менее 50%.</w:t>
            </w:r>
          </w:p>
        </w:tc>
      </w:tr>
      <w:tr w:rsidR="008B4EA6" w:rsidRPr="00AD79D2" w:rsidTr="00B75F4A">
        <w:tc>
          <w:tcPr>
            <w:tcW w:w="3369" w:type="dxa"/>
          </w:tcPr>
          <w:p w:rsidR="008B4EA6" w:rsidRPr="00AD79D2" w:rsidRDefault="008B4EA6" w:rsidP="00B75F4A">
            <w:pPr>
              <w:spacing w:after="120"/>
              <w:rPr>
                <w:b/>
              </w:rPr>
            </w:pPr>
            <w:r w:rsidRPr="00AD79D2">
              <w:t>Федеральный закон от 24 ноября 2008 г. № 205-ФЗ «О внесении изменений в отдельные законодательные акты Российской Федерации в связи с Федеральным законом «О федеральном бюджете на 2009 год и на плановый период 2010 и 2011 годов»</w:t>
            </w:r>
          </w:p>
          <w:p w:rsidR="008B4EA6" w:rsidRPr="00AD79D2" w:rsidRDefault="008B4EA6" w:rsidP="00B75F4A">
            <w:pPr>
              <w:spacing w:after="120"/>
            </w:pPr>
          </w:p>
        </w:tc>
        <w:tc>
          <w:tcPr>
            <w:tcW w:w="5917" w:type="dxa"/>
            <w:vAlign w:val="center"/>
          </w:tcPr>
          <w:p w:rsidR="008B4EA6" w:rsidRPr="00AD79D2" w:rsidRDefault="008B4EA6" w:rsidP="00B75F4A">
            <w:pPr>
              <w:spacing w:after="120"/>
            </w:pPr>
            <w:r w:rsidRPr="00AD79D2">
              <w:t>Изменения вносятся в отдельные законодательные акты в связи с принятием ФЗ о бюджете на 2009, 2010, 2011 гг.</w:t>
            </w:r>
          </w:p>
          <w:p w:rsidR="008B4EA6" w:rsidRPr="00AD79D2" w:rsidRDefault="008B4EA6" w:rsidP="00B75F4A">
            <w:pPr>
              <w:spacing w:after="120"/>
            </w:pPr>
            <w:r w:rsidRPr="00AD79D2">
              <w:t>Средства Фонда национального благосостояния разрешено размещать в депозиты и остатки на банковских счетах Внешэкономбанка.</w:t>
            </w:r>
          </w:p>
          <w:p w:rsidR="008B4EA6" w:rsidRPr="00AD79D2" w:rsidRDefault="008B4EA6" w:rsidP="00B75F4A">
            <w:pPr>
              <w:spacing w:after="120"/>
            </w:pPr>
            <w:r w:rsidRPr="00AD79D2">
              <w:t>Расширены полномочия Правительства РФ по оперативному управлению бюджетными потоками в условиях воздействия мирового финансового кризиса на экономику России. Так, Правительство РФ в 2009 году сможет без внесения изменений в закон о федеральном бюджете принимать решения об использовании средств Резервного фонда и иных остатков средств федерального бюджета на осуществление выплат, сокращающих долговых обязательства, и на сокращение заимствований и обеспечение сбалансированности федерального бюджета. Также оно наделяется правом перераспределять бюджетные ассигнования между текущим финансовым годом и плановым периодом.</w:t>
            </w:r>
          </w:p>
        </w:tc>
      </w:tr>
      <w:tr w:rsidR="008B4EA6" w:rsidRPr="00AD79D2" w:rsidTr="00B75F4A">
        <w:tc>
          <w:tcPr>
            <w:tcW w:w="3369" w:type="dxa"/>
          </w:tcPr>
          <w:p w:rsidR="008B4EA6" w:rsidRPr="00AD79D2" w:rsidRDefault="008B4EA6" w:rsidP="00B75F4A">
            <w:pPr>
              <w:spacing w:after="120"/>
              <w:rPr>
                <w:b/>
              </w:rPr>
            </w:pPr>
            <w:r w:rsidRPr="00AD79D2">
              <w:t xml:space="preserve">Федеральный закон от 30 декабря 2008 г. № 310-ФЗ «О </w:t>
            </w:r>
            <w:r w:rsidRPr="00AD79D2">
              <w:lastRenderedPageBreak/>
              <w:t>внесении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p>
        </w:tc>
        <w:tc>
          <w:tcPr>
            <w:tcW w:w="5917" w:type="dxa"/>
            <w:vAlign w:val="center"/>
          </w:tcPr>
          <w:p w:rsidR="008B4EA6" w:rsidRPr="00AD79D2" w:rsidRDefault="008B4EA6" w:rsidP="00B75F4A">
            <w:pPr>
              <w:spacing w:after="120"/>
            </w:pPr>
            <w:r w:rsidRPr="00AD79D2">
              <w:lastRenderedPageBreak/>
              <w:t>Изменения вносятся в Бюджетный кодекс РФ.</w:t>
            </w:r>
          </w:p>
          <w:p w:rsidR="008B4EA6" w:rsidRPr="00AD79D2" w:rsidRDefault="008B4EA6" w:rsidP="00B75F4A">
            <w:pPr>
              <w:spacing w:after="120"/>
            </w:pPr>
            <w:r w:rsidRPr="00AD79D2">
              <w:t xml:space="preserve">Все средства нефтегазовых доходов будут поступать в </w:t>
            </w:r>
            <w:r w:rsidRPr="00AD79D2">
              <w:lastRenderedPageBreak/>
              <w:t>нефтегазовый трансферт до достижения его объема, утвержденного в федеральном бюджете на 2009 год и на плановый период 2010 и 2011 годов, и только затем направляться в Резервный фонд.</w:t>
            </w:r>
          </w:p>
        </w:tc>
      </w:tr>
      <w:tr w:rsidR="008B4EA6" w:rsidRPr="00AD79D2" w:rsidTr="00B75F4A">
        <w:tc>
          <w:tcPr>
            <w:tcW w:w="3369" w:type="dxa"/>
          </w:tcPr>
          <w:p w:rsidR="008B4EA6" w:rsidRPr="00AD79D2" w:rsidRDefault="008B4EA6" w:rsidP="00B75F4A">
            <w:pPr>
              <w:spacing w:after="120"/>
              <w:rPr>
                <w:b/>
              </w:rPr>
            </w:pPr>
            <w:r w:rsidRPr="00AD79D2">
              <w:lastRenderedPageBreak/>
              <w:t>Распоряжение Правительства РФ от 10 марта 2009 г. № 271-р «О направлении в первом полугодии 2009 г. средств на финансовое обеспечение сбалансированности федерального бюджета»</w:t>
            </w:r>
          </w:p>
        </w:tc>
        <w:tc>
          <w:tcPr>
            <w:tcW w:w="5917" w:type="dxa"/>
            <w:vAlign w:val="center"/>
          </w:tcPr>
          <w:p w:rsidR="008B4EA6" w:rsidRPr="00AD79D2" w:rsidRDefault="008B4EA6" w:rsidP="00B75F4A">
            <w:pPr>
              <w:spacing w:after="120"/>
            </w:pPr>
            <w:r w:rsidRPr="00AD79D2">
              <w:t>В первом полугодии 2009 г. из Резервного фонда на финансовое обеспечение сбалансированности федерального бюджета направлено до 1 603 977 300 тыс. рублей.</w:t>
            </w:r>
          </w:p>
        </w:tc>
      </w:tr>
      <w:tr w:rsidR="008B4EA6" w:rsidRPr="00AD79D2" w:rsidTr="00B75F4A">
        <w:tc>
          <w:tcPr>
            <w:tcW w:w="3369" w:type="dxa"/>
          </w:tcPr>
          <w:p w:rsidR="008B4EA6" w:rsidRPr="00AD79D2" w:rsidRDefault="008B4EA6" w:rsidP="00B75F4A">
            <w:pPr>
              <w:spacing w:after="120"/>
              <w:rPr>
                <w:b/>
              </w:rPr>
            </w:pPr>
            <w:r w:rsidRPr="00AD79D2">
              <w:t>Федеральный закон от 9 апреля 2009 г. № 58-ФЗ «О внесении изменений в Бюджетный кодекс Российской Федерации и отдельные законодательные акты Российской Федерации»</w:t>
            </w:r>
          </w:p>
        </w:tc>
        <w:tc>
          <w:tcPr>
            <w:tcW w:w="5917" w:type="dxa"/>
            <w:vAlign w:val="center"/>
          </w:tcPr>
          <w:p w:rsidR="008B4EA6" w:rsidRPr="00AD79D2" w:rsidRDefault="008B4EA6" w:rsidP="00B75F4A">
            <w:pPr>
              <w:spacing w:after="120"/>
            </w:pPr>
            <w:r w:rsidRPr="00AD79D2">
              <w:t>Изменения вносятся в БК РФ и в отдельные законодательные акты и направлены на обеспечение сбалансированности федерального бюджета в условиях мирового финансового кризиса.</w:t>
            </w:r>
          </w:p>
          <w:p w:rsidR="008B4EA6" w:rsidRPr="00AD79D2" w:rsidRDefault="008B4EA6" w:rsidP="00B75F4A">
            <w:pPr>
              <w:spacing w:after="120"/>
            </w:pPr>
            <w:r w:rsidRPr="00AD79D2">
              <w:t>Установлен особый порядок использования средств Резервного фонда для финансирования дефицита федерального бюджета.</w:t>
            </w:r>
          </w:p>
        </w:tc>
      </w:tr>
      <w:tr w:rsidR="008B4EA6" w:rsidRPr="00AD79D2" w:rsidTr="00B75F4A">
        <w:tc>
          <w:tcPr>
            <w:tcW w:w="3369" w:type="dxa"/>
          </w:tcPr>
          <w:p w:rsidR="008B4EA6" w:rsidRPr="00AD79D2" w:rsidRDefault="008B4EA6" w:rsidP="00B75F4A">
            <w:pPr>
              <w:spacing w:after="120"/>
              <w:rPr>
                <w:b/>
              </w:rPr>
            </w:pPr>
            <w:r w:rsidRPr="00AD79D2">
              <w:t>Федеральный закон от 28 апреля 2009 г. № 76-ФЗ «О внесении изменений в Федеральный закон "О федеральном бюджете на 2009 год и на плановый период 2010 и 2011 годов»</w:t>
            </w:r>
          </w:p>
        </w:tc>
        <w:tc>
          <w:tcPr>
            <w:tcW w:w="5917" w:type="dxa"/>
            <w:vAlign w:val="center"/>
          </w:tcPr>
          <w:p w:rsidR="008B4EA6" w:rsidRPr="00AD79D2" w:rsidRDefault="008B4EA6" w:rsidP="00B75F4A">
            <w:pPr>
              <w:spacing w:after="120"/>
            </w:pPr>
            <w:r w:rsidRPr="00AD79D2">
              <w:t>Изменения вносятся в ФЗ о бюджете на 2009, 2010, 2011 гг. в связи с уточнением прогноза социально-экономического развития РФ на 2009 г. и с необходимостью реализации программы антикризисных мер Правительства РФ.</w:t>
            </w:r>
          </w:p>
          <w:p w:rsidR="008B4EA6" w:rsidRPr="00AD79D2" w:rsidRDefault="008B4EA6" w:rsidP="00B75F4A">
            <w:pPr>
              <w:spacing w:after="120"/>
            </w:pPr>
            <w:r w:rsidRPr="00AD79D2">
              <w:t>Доходы федерального бюджета сокращаются, расходы увеличиваются (в основном за счет средств Резервного фонда), таким образом, бюджет на 2009 г. будет дефицитным. Дефицит составляет 2 978 398 млн</w:t>
            </w:r>
            <w:r w:rsidR="00BD7733">
              <w:t>.</w:t>
            </w:r>
            <w:r w:rsidRPr="00AD79D2">
              <w:t> руб.</w:t>
            </w:r>
          </w:p>
          <w:p w:rsidR="008B4EA6" w:rsidRPr="00AD79D2" w:rsidRDefault="008B4EA6" w:rsidP="00B75F4A">
            <w:pPr>
              <w:spacing w:after="120"/>
            </w:pPr>
            <w:r w:rsidRPr="00AD79D2">
              <w:t>Дополнительные средства направляются, в частности, на увеличение социальных выплат, на поддержку рынка труда, отдельных отраслей экономики, банковского сектора, предоставление финансовой помощи субъектам РФ и государственным внебюджетным фондам.</w:t>
            </w:r>
          </w:p>
        </w:tc>
      </w:tr>
      <w:tr w:rsidR="008B4EA6" w:rsidRPr="00AD79D2" w:rsidTr="00B75F4A">
        <w:tc>
          <w:tcPr>
            <w:tcW w:w="3369" w:type="dxa"/>
          </w:tcPr>
          <w:p w:rsidR="008B4EA6" w:rsidRPr="00AD79D2" w:rsidRDefault="008B4EA6" w:rsidP="00B75F4A">
            <w:pPr>
              <w:spacing w:after="120"/>
              <w:rPr>
                <w:b/>
              </w:rPr>
            </w:pPr>
            <w:r w:rsidRPr="00AD79D2">
              <w:t xml:space="preserve">Федеральный закон от 17 июля 2009 г. № 168-ФЗ «О внесении изменений в Федеральный закон "О </w:t>
            </w:r>
            <w:r w:rsidRPr="00AD79D2">
              <w:lastRenderedPageBreak/>
              <w:t>дополнительных мерах по поддержке финансовой системы Российской Федерации»</w:t>
            </w:r>
          </w:p>
        </w:tc>
        <w:tc>
          <w:tcPr>
            <w:tcW w:w="5917" w:type="dxa"/>
            <w:vAlign w:val="center"/>
          </w:tcPr>
          <w:p w:rsidR="008B4EA6" w:rsidRPr="00AD79D2" w:rsidRDefault="008B4EA6" w:rsidP="00B75F4A">
            <w:pPr>
              <w:spacing w:after="120"/>
            </w:pPr>
            <w:r w:rsidRPr="00AD79D2">
              <w:lastRenderedPageBreak/>
              <w:t>Средства Фонда национального благосостояния в размере 40 млрд</w:t>
            </w:r>
            <w:r w:rsidR="00BD7733">
              <w:t>.</w:t>
            </w:r>
            <w:r w:rsidRPr="00AD79D2">
              <w:t xml:space="preserve"> руб. предусмотрены для выдачи кредитов ОАО «Агентство по ипотечному жилищному кредитованию». Эти средства размещаются во </w:t>
            </w:r>
            <w:r w:rsidRPr="00AD79D2">
              <w:lastRenderedPageBreak/>
              <w:t>Внешэкономбанке на депозиты по ставке 8,5% годовых. Процентная ставка кредитования - 9,5% годовых.</w:t>
            </w:r>
          </w:p>
        </w:tc>
      </w:tr>
      <w:tr w:rsidR="008B4EA6" w:rsidRPr="00AD79D2" w:rsidTr="00B75F4A">
        <w:tc>
          <w:tcPr>
            <w:tcW w:w="3369" w:type="dxa"/>
          </w:tcPr>
          <w:p w:rsidR="008B4EA6" w:rsidRPr="00AD79D2" w:rsidRDefault="008B4EA6" w:rsidP="00B75F4A">
            <w:pPr>
              <w:spacing w:after="120"/>
              <w:rPr>
                <w:b/>
              </w:rPr>
            </w:pPr>
            <w:r w:rsidRPr="00AD79D2">
              <w:lastRenderedPageBreak/>
              <w:t>Постановление Правительства РФ от 22 июля 2009 г. № 597 «О внесении изменения в Требования к финансовым активам, в которые могут размещаться средства Фонда национального благосостояния»</w:t>
            </w:r>
          </w:p>
        </w:tc>
        <w:tc>
          <w:tcPr>
            <w:tcW w:w="5917" w:type="dxa"/>
            <w:vAlign w:val="center"/>
          </w:tcPr>
          <w:p w:rsidR="008B4EA6" w:rsidRPr="00AD79D2" w:rsidRDefault="008B4EA6" w:rsidP="00B75F4A">
            <w:pPr>
              <w:spacing w:after="120"/>
            </w:pPr>
            <w:r w:rsidRPr="00AD79D2">
              <w:t>На депозитах Внешэкономбанка планируется дополнительно разместить средства Фонда национального благосостояния в размере 30 млрд. руб. Указанные средства будут направлены на кредитование субъектов малого и среднего предпринимательства.</w:t>
            </w:r>
          </w:p>
          <w:p w:rsidR="008B4EA6" w:rsidRPr="00AD79D2" w:rsidRDefault="008B4EA6" w:rsidP="00B75F4A">
            <w:pPr>
              <w:spacing w:after="120"/>
            </w:pPr>
            <w:r w:rsidRPr="00AD79D2">
              <w:t>Крайний срок возврата размещаемых денежных средств - 31 декабря 2017 г. Проценты от их размещения выплачиваются ежеквартально по ставке 8,5% годовых.</w:t>
            </w:r>
          </w:p>
          <w:p w:rsidR="008B4EA6" w:rsidRPr="00AD79D2" w:rsidRDefault="008B4EA6" w:rsidP="00B75F4A">
            <w:pPr>
              <w:spacing w:after="120"/>
            </w:pPr>
            <w:r w:rsidRPr="00AD79D2">
              <w:t>Конкретные суммы и сроки размещения денежных средств Фонда определит Минфин России.</w:t>
            </w:r>
          </w:p>
        </w:tc>
      </w:tr>
      <w:tr w:rsidR="008B4EA6" w:rsidRPr="00AD79D2" w:rsidTr="00B75F4A">
        <w:tc>
          <w:tcPr>
            <w:tcW w:w="3369" w:type="dxa"/>
          </w:tcPr>
          <w:p w:rsidR="008B4EA6" w:rsidRPr="00AD79D2" w:rsidRDefault="008B4EA6" w:rsidP="00B75F4A">
            <w:pPr>
              <w:spacing w:after="120"/>
              <w:rPr>
                <w:b/>
              </w:rPr>
            </w:pPr>
            <w:r w:rsidRPr="00AD79D2">
              <w:t>Федеральный закон от 22 сентября 2009 г. № 218-ФЗ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c>
          <w:tcPr>
            <w:tcW w:w="5917" w:type="dxa"/>
            <w:vAlign w:val="center"/>
          </w:tcPr>
          <w:p w:rsidR="008B4EA6" w:rsidRPr="00AD79D2" w:rsidRDefault="008B4EA6" w:rsidP="00B75F4A">
            <w:pPr>
              <w:spacing w:after="120"/>
            </w:pPr>
            <w:r w:rsidRPr="00AD79D2">
              <w:t>Федеральный закон направлен на привлечение дополнительных доходов в федеральный бюджет.</w:t>
            </w:r>
          </w:p>
          <w:p w:rsidR="008B4EA6" w:rsidRPr="00AD79D2" w:rsidRDefault="008B4EA6" w:rsidP="00B75F4A">
            <w:pPr>
              <w:spacing w:after="120"/>
            </w:pPr>
            <w:r w:rsidRPr="00AD79D2">
              <w:t>Теперь в федеральный бюджет будут зачисляться все доходы от налога на добычу полезных ископаемых в виде углеводородного сырья (за исключением газа горючего природного). Ранее 5% от них направлялись в региональные бюджеты. По предварительным подсчетам данная мера позволит пополнить федеральный бюджет в 2010 г. не менее чем на 46,5 млрд</w:t>
            </w:r>
            <w:r w:rsidR="00BD7733">
              <w:t>.</w:t>
            </w:r>
            <w:r w:rsidRPr="00AD79D2">
              <w:t> руб., в 2011 г. - 50,9 млрд</w:t>
            </w:r>
            <w:r w:rsidR="00BD7733">
              <w:t>.</w:t>
            </w:r>
            <w:r w:rsidRPr="00AD79D2">
              <w:t> руб., в 2012 г. - 55 млрд</w:t>
            </w:r>
            <w:r w:rsidR="00BD7733">
              <w:t>.</w:t>
            </w:r>
            <w:r w:rsidRPr="00AD79D2">
              <w:t> руб.</w:t>
            </w:r>
          </w:p>
          <w:p w:rsidR="008B4EA6" w:rsidRPr="00AD79D2" w:rsidRDefault="008B4EA6" w:rsidP="00B75F4A">
            <w:pPr>
              <w:spacing w:after="120"/>
            </w:pPr>
            <w:r w:rsidRPr="00AD79D2">
              <w:t>С 1 января 2010 г. до 1 февраля 2012 г. доходы от управления средствами Резервного фонда и Фонда национального благосостояния будут оставаться в федеральном бюджете, а не направляться на их формирование.</w:t>
            </w:r>
          </w:p>
        </w:tc>
      </w:tr>
      <w:tr w:rsidR="008B4EA6" w:rsidRPr="00AD79D2" w:rsidTr="00B75F4A">
        <w:tc>
          <w:tcPr>
            <w:tcW w:w="3369" w:type="dxa"/>
          </w:tcPr>
          <w:p w:rsidR="008B4EA6" w:rsidRPr="00AD79D2" w:rsidRDefault="008B4EA6" w:rsidP="00B75F4A">
            <w:pPr>
              <w:spacing w:after="120"/>
              <w:rPr>
                <w:b/>
              </w:rPr>
            </w:pPr>
            <w:r w:rsidRPr="00AD79D2">
              <w:t>Постановление Правительства РФ от 28 сентября 2009 г. № 764 «О внесении изменений в Требования к финансовым активам, в которые могут размещаться средства Фонда национального благосостояния»</w:t>
            </w:r>
          </w:p>
        </w:tc>
        <w:tc>
          <w:tcPr>
            <w:tcW w:w="5917" w:type="dxa"/>
            <w:vAlign w:val="center"/>
          </w:tcPr>
          <w:p w:rsidR="008B4EA6" w:rsidRPr="00AD79D2" w:rsidRDefault="008B4EA6" w:rsidP="00B75F4A">
            <w:pPr>
              <w:spacing w:after="120"/>
            </w:pPr>
            <w:r w:rsidRPr="00AD79D2">
              <w:t>Скорректированы условия, при которых средства Фонда национального благосостояния могут размещаться на депозитах во Внешэкономбанке в российских рублях.</w:t>
            </w:r>
          </w:p>
          <w:p w:rsidR="008B4EA6" w:rsidRPr="00AD79D2" w:rsidRDefault="008B4EA6" w:rsidP="00B75F4A">
            <w:pPr>
              <w:spacing w:after="120"/>
            </w:pPr>
            <w:r w:rsidRPr="00AD79D2">
              <w:t>Это обусловлено уточнением общего порядка размещения указанных средств во Внешэкономбанке.</w:t>
            </w:r>
          </w:p>
          <w:p w:rsidR="008B4EA6" w:rsidRPr="00AD79D2" w:rsidRDefault="008B4EA6" w:rsidP="00B75F4A">
            <w:pPr>
              <w:spacing w:after="120"/>
            </w:pPr>
            <w:r w:rsidRPr="00AD79D2">
              <w:t>До 40 млрд</w:t>
            </w:r>
            <w:r w:rsidR="00BD7733">
              <w:t>.</w:t>
            </w:r>
            <w:r w:rsidRPr="00AD79D2">
              <w:t> руб. может быть размещено на депозитах при условии их возврата до 1 июня 2015 г. Ставка - 8,5% годовых.</w:t>
            </w:r>
          </w:p>
          <w:p w:rsidR="008B4EA6" w:rsidRPr="00AD79D2" w:rsidRDefault="008B4EA6" w:rsidP="00B75F4A">
            <w:pPr>
              <w:spacing w:after="120"/>
            </w:pPr>
            <w:r w:rsidRPr="00AD79D2">
              <w:t>До 31 декабря 2019 г. включительно средства Фонда могут быть размещены на общую сумму не более 410 млрд</w:t>
            </w:r>
            <w:r w:rsidR="00BD7733">
              <w:t>.</w:t>
            </w:r>
            <w:r w:rsidRPr="00AD79D2">
              <w:t> руб</w:t>
            </w:r>
            <w:r w:rsidR="00BD7733">
              <w:t>.</w:t>
            </w:r>
            <w:r w:rsidRPr="00AD79D2">
              <w:t xml:space="preserve"> (ранее - 450 млрд</w:t>
            </w:r>
            <w:r w:rsidR="00BD7733">
              <w:t>.</w:t>
            </w:r>
            <w:r w:rsidRPr="00AD79D2">
              <w:t> руб.).</w:t>
            </w:r>
          </w:p>
          <w:p w:rsidR="008B4EA6" w:rsidRPr="00AD79D2" w:rsidRDefault="008B4EA6" w:rsidP="00B75F4A">
            <w:pPr>
              <w:spacing w:after="120"/>
            </w:pPr>
            <w:r w:rsidRPr="00AD79D2">
              <w:t xml:space="preserve">Максимально допустимая совокупная сумма, в пределах которой средства могут размещаться на </w:t>
            </w:r>
            <w:r w:rsidRPr="00AD79D2">
              <w:lastRenderedPageBreak/>
              <w:t>депозитах в российских рублях, не изменилась (655 млрд</w:t>
            </w:r>
            <w:r w:rsidR="00BD7733">
              <w:t>.</w:t>
            </w:r>
            <w:r w:rsidRPr="00AD79D2">
              <w:t> руб.).</w:t>
            </w:r>
          </w:p>
        </w:tc>
      </w:tr>
      <w:tr w:rsidR="008B4EA6" w:rsidRPr="00AD79D2" w:rsidTr="00B75F4A">
        <w:tc>
          <w:tcPr>
            <w:tcW w:w="3369" w:type="dxa"/>
          </w:tcPr>
          <w:p w:rsidR="008B4EA6" w:rsidRPr="00AD79D2" w:rsidRDefault="008B4EA6" w:rsidP="00B75F4A">
            <w:pPr>
              <w:spacing w:after="120"/>
              <w:rPr>
                <w:b/>
              </w:rPr>
            </w:pPr>
            <w:r w:rsidRPr="00AD79D2">
              <w:lastRenderedPageBreak/>
              <w:t>Федеральный закон от 16 февраля 2010 г. № 12-ФЗ «О внесении изменений в Федеральный закон "О дополнительных мерах по поддержке финансовой системы Российской Федерации»</w:t>
            </w:r>
          </w:p>
        </w:tc>
        <w:tc>
          <w:tcPr>
            <w:tcW w:w="5917" w:type="dxa"/>
            <w:vAlign w:val="center"/>
          </w:tcPr>
          <w:p w:rsidR="008B4EA6" w:rsidRPr="00AD79D2" w:rsidRDefault="008B4EA6" w:rsidP="00B75F4A">
            <w:pPr>
              <w:spacing w:after="120"/>
              <w:rPr>
                <w:b/>
              </w:rPr>
            </w:pPr>
            <w:r w:rsidRPr="00AD79D2">
              <w:t xml:space="preserve">Внесены изменения в ФЗ от 13 октября 2008 года № 173-ФЗ </w:t>
            </w:r>
          </w:p>
          <w:p w:rsidR="008B4EA6" w:rsidRPr="00AD79D2" w:rsidRDefault="008B4EA6" w:rsidP="00B75F4A">
            <w:pPr>
              <w:spacing w:after="120"/>
              <w:rPr>
                <w:b/>
              </w:rPr>
            </w:pPr>
            <w:r w:rsidRPr="00AD79D2">
              <w:t>Продлевается срок размещения средств Фонда национального благосостояния во Внешэкономбанке на депозитах до 1 июня 2020 г.</w:t>
            </w:r>
          </w:p>
        </w:tc>
      </w:tr>
      <w:tr w:rsidR="008B4EA6" w:rsidRPr="00AD79D2" w:rsidTr="00B75F4A">
        <w:tc>
          <w:tcPr>
            <w:tcW w:w="3369" w:type="dxa"/>
          </w:tcPr>
          <w:p w:rsidR="008B4EA6" w:rsidRPr="00AD79D2" w:rsidRDefault="008B4EA6" w:rsidP="00B75F4A">
            <w:pPr>
              <w:spacing w:after="120"/>
              <w:rPr>
                <w:b/>
              </w:rPr>
            </w:pPr>
            <w:r w:rsidRPr="00AD79D2">
              <w:t>Федеральный закон от 22 мая 2010 г. № 101-ФЗ «О внесении изменений в Федеральный закон «О дополнительных мерах по поддержке финансовой системы Российской Федерации»</w:t>
            </w:r>
          </w:p>
        </w:tc>
        <w:tc>
          <w:tcPr>
            <w:tcW w:w="5917" w:type="dxa"/>
            <w:vAlign w:val="center"/>
          </w:tcPr>
          <w:p w:rsidR="008B4EA6" w:rsidRPr="00AD79D2" w:rsidRDefault="008B4EA6" w:rsidP="00B75F4A">
            <w:pPr>
              <w:spacing w:after="120"/>
              <w:rPr>
                <w:b/>
              </w:rPr>
            </w:pPr>
            <w:r w:rsidRPr="00AD79D2">
              <w:t xml:space="preserve">Внесены изменения в ФЗ от 13 октября 2008 года № 173-ФЗ </w:t>
            </w:r>
          </w:p>
          <w:p w:rsidR="008B4EA6" w:rsidRPr="00AD79D2" w:rsidRDefault="008B4EA6" w:rsidP="00B75F4A">
            <w:pPr>
              <w:spacing w:after="120"/>
              <w:rPr>
                <w:b/>
              </w:rPr>
            </w:pPr>
            <w:r w:rsidRPr="00AD79D2">
              <w:t>Ранее предусматривалось, что средства Фонда национального благосостояния могут быть размещены во Внешэкономбанке на депозиты сроком до 1 июня 2020 г. на общую сумму не более 40 млрд</w:t>
            </w:r>
            <w:r w:rsidR="00BD7733">
              <w:t>.</w:t>
            </w:r>
            <w:r w:rsidRPr="00AD79D2">
              <w:t> руб. по ставке 8,5% годовых.</w:t>
            </w:r>
          </w:p>
          <w:p w:rsidR="008B4EA6" w:rsidRPr="00AD79D2" w:rsidRDefault="008B4EA6" w:rsidP="00B75F4A">
            <w:pPr>
              <w:spacing w:after="120"/>
            </w:pPr>
            <w:r w:rsidRPr="00AD79D2">
              <w:t>Указанная ставка снижена до 6,25%.</w:t>
            </w:r>
          </w:p>
        </w:tc>
      </w:tr>
    </w:tbl>
    <w:p w:rsidR="008B4EA6" w:rsidRDefault="008B4EA6" w:rsidP="008B4EA6">
      <w:pPr>
        <w:spacing w:after="0"/>
        <w:ind w:firstLine="851"/>
        <w:jc w:val="center"/>
        <w:rPr>
          <w:sz w:val="26"/>
          <w:szCs w:val="26"/>
        </w:rPr>
      </w:pPr>
    </w:p>
    <w:p w:rsidR="002D4E07" w:rsidRDefault="002D4E07">
      <w:pPr>
        <w:rPr>
          <w:sz w:val="26"/>
          <w:szCs w:val="26"/>
          <w:lang w:val="en-US"/>
        </w:rPr>
      </w:pPr>
      <w:r>
        <w:rPr>
          <w:sz w:val="26"/>
          <w:szCs w:val="26"/>
          <w:lang w:val="en-US"/>
        </w:rPr>
        <w:br w:type="page"/>
      </w:r>
    </w:p>
    <w:p w:rsidR="00FA47E2" w:rsidRDefault="002D4E07" w:rsidP="002D4E07">
      <w:pPr>
        <w:pStyle w:val="1"/>
        <w:jc w:val="right"/>
      </w:pPr>
      <w:r>
        <w:lastRenderedPageBreak/>
        <w:t>Приложение 2</w:t>
      </w:r>
    </w:p>
    <w:p w:rsidR="002D4E07" w:rsidRDefault="002D4E07" w:rsidP="002D4E07">
      <w:pPr>
        <w:spacing w:after="0"/>
        <w:ind w:firstLine="851"/>
        <w:jc w:val="center"/>
        <w:rPr>
          <w:b/>
          <w:sz w:val="26"/>
          <w:szCs w:val="26"/>
        </w:rPr>
      </w:pPr>
      <w:r w:rsidRPr="00300AA1">
        <w:rPr>
          <w:b/>
          <w:sz w:val="26"/>
          <w:szCs w:val="26"/>
        </w:rPr>
        <w:t xml:space="preserve">Движение средств Фонда национального благосостояния </w:t>
      </w:r>
    </w:p>
    <w:p w:rsidR="002D4E07" w:rsidRPr="00300AA1" w:rsidRDefault="002D4E07" w:rsidP="002D4E07">
      <w:pPr>
        <w:spacing w:after="0"/>
        <w:ind w:firstLine="851"/>
        <w:jc w:val="center"/>
        <w:rPr>
          <w:b/>
          <w:sz w:val="26"/>
          <w:szCs w:val="26"/>
        </w:rPr>
      </w:pPr>
      <w:r w:rsidRPr="00300AA1">
        <w:rPr>
          <w:b/>
          <w:sz w:val="26"/>
          <w:szCs w:val="26"/>
        </w:rPr>
        <w:t>в 2008-2010 гг. (тыс. единиц в</w:t>
      </w:r>
      <w:r>
        <w:rPr>
          <w:b/>
          <w:sz w:val="26"/>
          <w:szCs w:val="26"/>
        </w:rPr>
        <w:t>а</w:t>
      </w:r>
      <w:r w:rsidRPr="00300AA1">
        <w:rPr>
          <w:b/>
          <w:sz w:val="26"/>
          <w:szCs w:val="26"/>
        </w:rPr>
        <w:t>лют)</w:t>
      </w:r>
    </w:p>
    <w:tbl>
      <w:tblPr>
        <w:tblW w:w="5077"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left w:w="0" w:type="dxa"/>
          <w:right w:w="0" w:type="dxa"/>
        </w:tblCellMar>
        <w:tblLook w:val="04A0"/>
      </w:tblPr>
      <w:tblGrid>
        <w:gridCol w:w="572"/>
        <w:gridCol w:w="2087"/>
        <w:gridCol w:w="1588"/>
        <w:gridCol w:w="1711"/>
        <w:gridCol w:w="1680"/>
        <w:gridCol w:w="1582"/>
      </w:tblGrid>
      <w:tr w:rsidR="002D4E07" w:rsidRPr="003A1313" w:rsidTr="002D4E07">
        <w:trPr>
          <w:trHeight w:val="253"/>
        </w:trPr>
        <w:tc>
          <w:tcPr>
            <w:tcW w:w="310" w:type="pct"/>
            <w:vMerge w:val="restart"/>
            <w:shd w:val="clear" w:color="auto" w:fill="4F81BD" w:themeFill="accent1"/>
            <w:vAlign w:val="center"/>
            <w:hideMark/>
          </w:tcPr>
          <w:p w:rsidR="002D4E07" w:rsidRPr="003A1313" w:rsidRDefault="002D4E07" w:rsidP="002D4E07">
            <w:pPr>
              <w:spacing w:after="0" w:line="240" w:lineRule="auto"/>
              <w:jc w:val="center"/>
              <w:rPr>
                <w:rFonts w:eastAsia="Times New Roman"/>
                <w:b/>
                <w:color w:val="FFFFFF" w:themeColor="background1"/>
                <w:sz w:val="22"/>
                <w:szCs w:val="22"/>
                <w:lang w:eastAsia="ru-RU"/>
              </w:rPr>
            </w:pPr>
            <w:r w:rsidRPr="003A1313">
              <w:rPr>
                <w:rFonts w:eastAsia="Times New Roman"/>
                <w:b/>
                <w:color w:val="FFFFFF" w:themeColor="background1"/>
                <w:sz w:val="22"/>
                <w:szCs w:val="22"/>
                <w:lang w:eastAsia="ru-RU"/>
              </w:rPr>
              <w:t>№п/п</w:t>
            </w:r>
          </w:p>
        </w:tc>
        <w:tc>
          <w:tcPr>
            <w:tcW w:w="1132" w:type="pct"/>
            <w:vMerge w:val="restart"/>
            <w:shd w:val="clear" w:color="auto" w:fill="4F81BD" w:themeFill="accent1"/>
            <w:vAlign w:val="center"/>
            <w:hideMark/>
          </w:tcPr>
          <w:p w:rsidR="002D4E07" w:rsidRPr="003A1313" w:rsidRDefault="002D4E07" w:rsidP="002D4E07">
            <w:pPr>
              <w:spacing w:after="0" w:line="240" w:lineRule="auto"/>
              <w:jc w:val="center"/>
              <w:rPr>
                <w:rFonts w:eastAsia="Times New Roman"/>
                <w:b/>
                <w:color w:val="FFFFFF" w:themeColor="background1"/>
                <w:sz w:val="22"/>
                <w:szCs w:val="22"/>
                <w:lang w:eastAsia="ru-RU"/>
              </w:rPr>
            </w:pPr>
            <w:r w:rsidRPr="003A1313">
              <w:rPr>
                <w:rFonts w:eastAsia="Times New Roman"/>
                <w:b/>
                <w:color w:val="FFFFFF" w:themeColor="background1"/>
                <w:sz w:val="22"/>
                <w:szCs w:val="22"/>
                <w:lang w:eastAsia="ru-RU"/>
              </w:rPr>
              <w:t>Наименование показателя</w:t>
            </w:r>
          </w:p>
        </w:tc>
        <w:tc>
          <w:tcPr>
            <w:tcW w:w="861" w:type="pct"/>
            <w:vMerge w:val="restart"/>
            <w:shd w:val="clear" w:color="auto" w:fill="4F81BD" w:themeFill="accent1"/>
            <w:vAlign w:val="center"/>
            <w:hideMark/>
          </w:tcPr>
          <w:p w:rsidR="002D4E07" w:rsidRPr="003A1313" w:rsidRDefault="002D4E07" w:rsidP="002D4E07">
            <w:pPr>
              <w:spacing w:after="0" w:line="240" w:lineRule="auto"/>
              <w:jc w:val="center"/>
              <w:rPr>
                <w:rFonts w:eastAsia="Times New Roman"/>
                <w:b/>
                <w:bCs/>
                <w:color w:val="FFFFFF" w:themeColor="background1"/>
                <w:sz w:val="22"/>
                <w:szCs w:val="22"/>
                <w:lang w:eastAsia="ru-RU"/>
              </w:rPr>
            </w:pPr>
            <w:r w:rsidRPr="003A1313">
              <w:rPr>
                <w:rFonts w:eastAsia="Times New Roman"/>
                <w:b/>
                <w:bCs/>
                <w:color w:val="FFFFFF" w:themeColor="background1"/>
                <w:sz w:val="22"/>
                <w:szCs w:val="22"/>
                <w:lang w:eastAsia="ru-RU"/>
              </w:rPr>
              <w:t>2008</w:t>
            </w:r>
          </w:p>
        </w:tc>
        <w:tc>
          <w:tcPr>
            <w:tcW w:w="928" w:type="pct"/>
            <w:vMerge w:val="restart"/>
            <w:shd w:val="clear" w:color="auto" w:fill="4F81BD" w:themeFill="accent1"/>
            <w:vAlign w:val="center"/>
            <w:hideMark/>
          </w:tcPr>
          <w:p w:rsidR="002D4E07" w:rsidRPr="003A1313" w:rsidRDefault="002D4E07" w:rsidP="002D4E07">
            <w:pPr>
              <w:spacing w:after="0" w:line="240" w:lineRule="auto"/>
              <w:jc w:val="center"/>
              <w:rPr>
                <w:rFonts w:eastAsia="Times New Roman"/>
                <w:b/>
                <w:bCs/>
                <w:color w:val="FFFFFF" w:themeColor="background1"/>
                <w:sz w:val="22"/>
                <w:szCs w:val="22"/>
                <w:lang w:eastAsia="ru-RU"/>
              </w:rPr>
            </w:pPr>
            <w:r w:rsidRPr="003A1313">
              <w:rPr>
                <w:rFonts w:eastAsia="Times New Roman"/>
                <w:b/>
                <w:bCs/>
                <w:color w:val="FFFFFF" w:themeColor="background1"/>
                <w:sz w:val="22"/>
                <w:szCs w:val="22"/>
                <w:lang w:eastAsia="ru-RU"/>
              </w:rPr>
              <w:t>2009</w:t>
            </w:r>
          </w:p>
        </w:tc>
        <w:tc>
          <w:tcPr>
            <w:tcW w:w="911" w:type="pct"/>
            <w:vMerge w:val="restart"/>
            <w:shd w:val="clear" w:color="auto" w:fill="4F81BD" w:themeFill="accent1"/>
            <w:vAlign w:val="center"/>
            <w:hideMark/>
          </w:tcPr>
          <w:p w:rsidR="002D4E07" w:rsidRPr="003A1313" w:rsidRDefault="002D4E07" w:rsidP="002D4E07">
            <w:pPr>
              <w:spacing w:after="0" w:line="240" w:lineRule="auto"/>
              <w:jc w:val="center"/>
              <w:rPr>
                <w:rFonts w:eastAsia="Times New Roman"/>
                <w:b/>
                <w:bCs/>
                <w:color w:val="FFFFFF" w:themeColor="background1"/>
                <w:sz w:val="22"/>
                <w:szCs w:val="22"/>
                <w:lang w:eastAsia="ru-RU"/>
              </w:rPr>
            </w:pPr>
            <w:r w:rsidRPr="003A1313">
              <w:rPr>
                <w:rFonts w:eastAsia="Times New Roman"/>
                <w:b/>
                <w:bCs/>
                <w:color w:val="FFFFFF" w:themeColor="background1"/>
                <w:sz w:val="22"/>
                <w:szCs w:val="22"/>
                <w:lang w:eastAsia="ru-RU"/>
              </w:rPr>
              <w:t>2010</w:t>
            </w:r>
          </w:p>
        </w:tc>
        <w:tc>
          <w:tcPr>
            <w:tcW w:w="858" w:type="pct"/>
            <w:vMerge w:val="restart"/>
            <w:shd w:val="clear" w:color="auto" w:fill="4F81BD" w:themeFill="accent1"/>
            <w:vAlign w:val="center"/>
            <w:hideMark/>
          </w:tcPr>
          <w:p w:rsidR="002D4E07" w:rsidRPr="003A1313" w:rsidRDefault="002D4E07" w:rsidP="002D4E07">
            <w:pPr>
              <w:spacing w:after="0" w:line="240" w:lineRule="auto"/>
              <w:jc w:val="center"/>
              <w:rPr>
                <w:rFonts w:eastAsia="Times New Roman"/>
                <w:b/>
                <w:bCs/>
                <w:color w:val="FFFFFF" w:themeColor="background1"/>
                <w:sz w:val="22"/>
                <w:szCs w:val="22"/>
                <w:lang w:eastAsia="ru-RU"/>
              </w:rPr>
            </w:pPr>
            <w:r w:rsidRPr="003A1313">
              <w:rPr>
                <w:rFonts w:eastAsia="Times New Roman"/>
                <w:b/>
                <w:bCs/>
                <w:color w:val="FFFFFF" w:themeColor="background1"/>
                <w:sz w:val="22"/>
                <w:szCs w:val="22"/>
                <w:lang w:eastAsia="ru-RU"/>
              </w:rPr>
              <w:t>2011</w:t>
            </w:r>
          </w:p>
        </w:tc>
      </w:tr>
      <w:tr w:rsidR="002D4E07" w:rsidRPr="003A1313" w:rsidTr="002D4E07">
        <w:trPr>
          <w:trHeight w:val="253"/>
        </w:trPr>
        <w:tc>
          <w:tcPr>
            <w:tcW w:w="310" w:type="pct"/>
            <w:vMerge/>
            <w:shd w:val="clear" w:color="auto" w:fill="4F81BD" w:themeFill="accent1"/>
            <w:vAlign w:val="center"/>
            <w:hideMark/>
          </w:tcPr>
          <w:p w:rsidR="002D4E07" w:rsidRPr="003A1313" w:rsidRDefault="002D4E07" w:rsidP="002D4E07">
            <w:pPr>
              <w:spacing w:after="0" w:line="240" w:lineRule="auto"/>
              <w:jc w:val="center"/>
              <w:rPr>
                <w:rFonts w:eastAsia="Times New Roman"/>
                <w:sz w:val="22"/>
                <w:szCs w:val="22"/>
                <w:lang w:eastAsia="ru-RU"/>
              </w:rPr>
            </w:pPr>
          </w:p>
        </w:tc>
        <w:tc>
          <w:tcPr>
            <w:tcW w:w="1132" w:type="pct"/>
            <w:vMerge/>
            <w:shd w:val="clear" w:color="auto" w:fill="4F81BD" w:themeFill="accent1"/>
            <w:vAlign w:val="center"/>
            <w:hideMark/>
          </w:tcPr>
          <w:p w:rsidR="002D4E07" w:rsidRPr="003A1313" w:rsidRDefault="002D4E07" w:rsidP="002D4E07">
            <w:pPr>
              <w:spacing w:after="0" w:line="240" w:lineRule="auto"/>
              <w:rPr>
                <w:rFonts w:eastAsia="Times New Roman"/>
                <w:sz w:val="22"/>
                <w:szCs w:val="22"/>
                <w:lang w:eastAsia="ru-RU"/>
              </w:rPr>
            </w:pPr>
          </w:p>
        </w:tc>
        <w:tc>
          <w:tcPr>
            <w:tcW w:w="861" w:type="pct"/>
            <w:vMerge/>
            <w:shd w:val="clear" w:color="auto" w:fill="4F81BD" w:themeFill="accent1"/>
            <w:vAlign w:val="center"/>
            <w:hideMark/>
          </w:tcPr>
          <w:p w:rsidR="002D4E07" w:rsidRPr="003A1313" w:rsidRDefault="002D4E07" w:rsidP="002D4E07">
            <w:pPr>
              <w:spacing w:after="0" w:line="240" w:lineRule="auto"/>
              <w:jc w:val="right"/>
              <w:rPr>
                <w:rFonts w:eastAsia="Times New Roman"/>
                <w:b/>
                <w:bCs/>
                <w:sz w:val="22"/>
                <w:szCs w:val="22"/>
                <w:lang w:eastAsia="ru-RU"/>
              </w:rPr>
            </w:pPr>
          </w:p>
        </w:tc>
        <w:tc>
          <w:tcPr>
            <w:tcW w:w="928" w:type="pct"/>
            <w:vMerge/>
            <w:shd w:val="clear" w:color="auto" w:fill="4F81BD" w:themeFill="accent1"/>
            <w:vAlign w:val="center"/>
            <w:hideMark/>
          </w:tcPr>
          <w:p w:rsidR="002D4E07" w:rsidRPr="003A1313" w:rsidRDefault="002D4E07" w:rsidP="002D4E07">
            <w:pPr>
              <w:spacing w:after="0" w:line="240" w:lineRule="auto"/>
              <w:jc w:val="right"/>
              <w:rPr>
                <w:rFonts w:eastAsia="Times New Roman"/>
                <w:b/>
                <w:bCs/>
                <w:sz w:val="22"/>
                <w:szCs w:val="22"/>
                <w:lang w:eastAsia="ru-RU"/>
              </w:rPr>
            </w:pPr>
          </w:p>
        </w:tc>
        <w:tc>
          <w:tcPr>
            <w:tcW w:w="911" w:type="pct"/>
            <w:vMerge/>
            <w:shd w:val="clear" w:color="auto" w:fill="4F81BD" w:themeFill="accent1"/>
            <w:vAlign w:val="center"/>
            <w:hideMark/>
          </w:tcPr>
          <w:p w:rsidR="002D4E07" w:rsidRPr="003A1313" w:rsidRDefault="002D4E07" w:rsidP="002D4E07">
            <w:pPr>
              <w:spacing w:after="0" w:line="240" w:lineRule="auto"/>
              <w:jc w:val="right"/>
              <w:rPr>
                <w:rFonts w:eastAsia="Times New Roman"/>
                <w:b/>
                <w:bCs/>
                <w:sz w:val="22"/>
                <w:szCs w:val="22"/>
                <w:lang w:eastAsia="ru-RU"/>
              </w:rPr>
            </w:pPr>
          </w:p>
        </w:tc>
        <w:tc>
          <w:tcPr>
            <w:tcW w:w="858" w:type="pct"/>
            <w:vMerge/>
            <w:shd w:val="clear" w:color="auto" w:fill="4F81BD" w:themeFill="accent1"/>
            <w:vAlign w:val="center"/>
            <w:hideMark/>
          </w:tcPr>
          <w:p w:rsidR="002D4E07" w:rsidRPr="003A1313" w:rsidRDefault="002D4E07" w:rsidP="002D4E07">
            <w:pPr>
              <w:spacing w:after="0" w:line="240" w:lineRule="auto"/>
              <w:jc w:val="right"/>
              <w:rPr>
                <w:rFonts w:eastAsia="Times New Roman"/>
                <w:b/>
                <w:bCs/>
                <w:sz w:val="22"/>
                <w:szCs w:val="22"/>
                <w:lang w:eastAsia="ru-RU"/>
              </w:rPr>
            </w:pPr>
          </w:p>
        </w:tc>
      </w:tr>
      <w:tr w:rsidR="002D4E07" w:rsidRPr="003A1313" w:rsidTr="00F35CEE">
        <w:trPr>
          <w:trHeight w:val="255"/>
        </w:trPr>
        <w:tc>
          <w:tcPr>
            <w:tcW w:w="1442" w:type="pct"/>
            <w:gridSpan w:val="2"/>
            <w:shd w:val="clear" w:color="auto" w:fill="auto"/>
            <w:vAlign w:val="center"/>
            <w:hideMark/>
          </w:tcPr>
          <w:p w:rsidR="002D4E07" w:rsidRPr="003A1313" w:rsidRDefault="002D4E07" w:rsidP="002D4E07">
            <w:pPr>
              <w:spacing w:after="0" w:line="240" w:lineRule="auto"/>
              <w:jc w:val="center"/>
              <w:rPr>
                <w:rFonts w:eastAsia="Times New Roman"/>
                <w:i/>
                <w:iCs/>
                <w:sz w:val="22"/>
                <w:szCs w:val="22"/>
                <w:lang w:eastAsia="ru-RU"/>
              </w:rPr>
            </w:pPr>
            <w:r w:rsidRPr="003A1313">
              <w:rPr>
                <w:rFonts w:eastAsia="Times New Roman"/>
                <w:i/>
                <w:iCs/>
                <w:sz w:val="22"/>
                <w:szCs w:val="22"/>
                <w:lang w:eastAsia="ru-RU"/>
              </w:rPr>
              <w:t>счет в валюте Р</w:t>
            </w:r>
            <w:r>
              <w:rPr>
                <w:rFonts w:eastAsia="Times New Roman"/>
                <w:i/>
                <w:iCs/>
                <w:sz w:val="22"/>
                <w:szCs w:val="22"/>
                <w:lang w:eastAsia="ru-RU"/>
              </w:rPr>
              <w:t>Ф</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i/>
                <w:iCs/>
                <w:sz w:val="22"/>
                <w:szCs w:val="22"/>
                <w:lang w:eastAsia="ru-RU"/>
              </w:rPr>
            </w:pPr>
            <w:r w:rsidRPr="003A1313">
              <w:rPr>
                <w:rFonts w:eastAsia="Times New Roman"/>
                <w:i/>
                <w:iCs/>
                <w:sz w:val="22"/>
                <w:szCs w:val="22"/>
                <w:lang w:eastAsia="ru-RU"/>
              </w:rPr>
              <w:t> </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c>
          <w:tcPr>
            <w:tcW w:w="91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c>
          <w:tcPr>
            <w:tcW w:w="85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1.1</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Остаток средств на начало периода</w:t>
            </w:r>
          </w:p>
        </w:tc>
        <w:tc>
          <w:tcPr>
            <w:tcW w:w="86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1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858"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150 000 000,00</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1.2</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Поступления на счет, всего:</w:t>
            </w:r>
          </w:p>
        </w:tc>
        <w:tc>
          <w:tcPr>
            <w:tcW w:w="86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467 186 475,11</w:t>
            </w:r>
          </w:p>
        </w:tc>
        <w:tc>
          <w:tcPr>
            <w:tcW w:w="92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3 559 647 530,43</w:t>
            </w:r>
          </w:p>
        </w:tc>
        <w:tc>
          <w:tcPr>
            <w:tcW w:w="91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1 294 000 000,00</w:t>
            </w:r>
          </w:p>
        </w:tc>
        <w:tc>
          <w:tcPr>
            <w:tcW w:w="858"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46 038 951,26</w:t>
            </w:r>
          </w:p>
        </w:tc>
      </w:tr>
      <w:tr w:rsidR="002D4E07" w:rsidRPr="003A1313" w:rsidTr="00F35CEE">
        <w:trPr>
          <w:trHeight w:val="60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1.2.1</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Зачисление доходов от размещения средств Стабилизационного фонда</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28 630 715,92</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 </w:t>
            </w:r>
          </w:p>
        </w:tc>
        <w:tc>
          <w:tcPr>
            <w:tcW w:w="911" w:type="pct"/>
            <w:shd w:val="clear" w:color="auto" w:fill="auto"/>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 </w:t>
            </w:r>
          </w:p>
        </w:tc>
        <w:tc>
          <w:tcPr>
            <w:tcW w:w="858" w:type="pct"/>
            <w:shd w:val="clear" w:color="auto" w:fill="auto"/>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 </w:t>
            </w:r>
          </w:p>
        </w:tc>
      </w:tr>
      <w:tr w:rsidR="002D4E07" w:rsidRPr="003A1313" w:rsidTr="00F35CEE">
        <w:trPr>
          <w:trHeight w:val="30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1.2.2</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Нефтегазовые доходы</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420 599 222,54</w:t>
            </w:r>
          </w:p>
        </w:tc>
        <w:tc>
          <w:tcPr>
            <w:tcW w:w="92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488 492 095,48</w:t>
            </w:r>
          </w:p>
        </w:tc>
        <w:tc>
          <w:tcPr>
            <w:tcW w:w="91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85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315"/>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1.2.3</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Поступления от продажи иностранной валюты</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17 956 536,67</w:t>
            </w:r>
          </w:p>
        </w:tc>
        <w:tc>
          <w:tcPr>
            <w:tcW w:w="92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2 866 108 918,04</w:t>
            </w:r>
          </w:p>
        </w:tc>
        <w:tc>
          <w:tcPr>
            <w:tcW w:w="91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1 144 000 000,00</w:t>
            </w:r>
          </w:p>
        </w:tc>
        <w:tc>
          <w:tcPr>
            <w:tcW w:w="85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30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1.2.4</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Поступления от реализации финансовых активов</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1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85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46 038 951,26</w:t>
            </w:r>
          </w:p>
        </w:tc>
      </w:tr>
      <w:tr w:rsidR="002D4E07" w:rsidRPr="003A1313" w:rsidTr="00F35CEE">
        <w:trPr>
          <w:trHeight w:val="315"/>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1.2.5</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Возврат неиспользованных средств Резервного фонда</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1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150 000 000,00</w:t>
            </w:r>
          </w:p>
        </w:tc>
        <w:tc>
          <w:tcPr>
            <w:tcW w:w="85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255"/>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1.2.6</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Доходы от управления средствами</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205 046 516,91</w:t>
            </w:r>
          </w:p>
        </w:tc>
        <w:tc>
          <w:tcPr>
            <w:tcW w:w="91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85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1.3</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Выбытия со счета, всего:</w:t>
            </w:r>
          </w:p>
        </w:tc>
        <w:tc>
          <w:tcPr>
            <w:tcW w:w="86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467 186 475,11</w:t>
            </w:r>
          </w:p>
        </w:tc>
        <w:tc>
          <w:tcPr>
            <w:tcW w:w="92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3 559 647 530,43</w:t>
            </w:r>
          </w:p>
        </w:tc>
        <w:tc>
          <w:tcPr>
            <w:tcW w:w="91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1 144 000 000,00</w:t>
            </w:r>
          </w:p>
        </w:tc>
        <w:tc>
          <w:tcPr>
            <w:tcW w:w="858"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196 038 951,26</w:t>
            </w:r>
          </w:p>
        </w:tc>
      </w:tr>
      <w:tr w:rsidR="002D4E07" w:rsidRPr="003A1313" w:rsidTr="00F35CEE">
        <w:trPr>
          <w:trHeight w:val="30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1.3.1</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На обеспечение нефтегазового трансферта</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noProof/>
                <w:sz w:val="22"/>
                <w:szCs w:val="22"/>
                <w:lang w:eastAsia="ru-RU"/>
              </w:rPr>
              <w:drawing>
                <wp:anchor distT="0" distB="0" distL="114300" distR="114300" simplePos="0" relativeHeight="251668480" behindDoc="0" locked="0" layoutInCell="1" allowOverlap="1">
                  <wp:simplePos x="0" y="0"/>
                  <wp:positionH relativeFrom="column">
                    <wp:posOffset>1381125</wp:posOffset>
                  </wp:positionH>
                  <wp:positionV relativeFrom="paragraph">
                    <wp:posOffset>152400</wp:posOffset>
                  </wp:positionV>
                  <wp:extent cx="0" cy="171450"/>
                  <wp:effectExtent l="0" t="0" r="635" b="0"/>
                  <wp:wrapNone/>
                  <wp:docPr id="7" name="Поле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07575" y="4318000"/>
                            <a:ext cx="0" cy="165100"/>
                            <a:chOff x="9807575" y="4318000"/>
                            <a:chExt cx="0" cy="165100"/>
                          </a:xfrm>
                        </a:grpSpPr>
                        <a:sp>
                          <a:nvSpPr>
                            <a:cNvPr id="5" name="Text Box 51"/>
                            <a:cNvSpPr txBox="1">
                              <a:spLocks noChangeArrowheads="1"/>
                            </a:cNvSpPr>
                          </a:nvSpPr>
                          <a:spPr bwMode="auto">
                            <a:xfrm>
                              <a:off x="6073775" y="4070350"/>
                              <a:ext cx="0" cy="165100"/>
                            </a:xfrm>
                            <a:prstGeom prst="rect">
                              <a:avLst/>
                            </a:prstGeom>
                            <a:noFill/>
                            <a:ln w="9525">
                              <a:noFill/>
                              <a:miter lim="800000"/>
                              <a:headEnd/>
                              <a:tailEnd/>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ru-RU" sz="1400" b="0" i="0" strike="noStrike">
                                    <a:solidFill>
                                      <a:srgbClr val="000000"/>
                                    </a:solidFill>
                                    <a:latin typeface="Arial Cyr"/>
                                  </a:rPr>
                                  <a:t>*</a:t>
                                </a:r>
                              </a:p>
                            </a:txBody>
                            <a:useSpRect/>
                          </a:txSp>
                        </a:sp>
                      </lc:lockedCanvas>
                    </a:graphicData>
                  </a:graphic>
                </wp:anchor>
              </w:drawing>
            </w:r>
            <w:r w:rsidRPr="003A1313">
              <w:rPr>
                <w:rFonts w:eastAsia="Times New Roman"/>
                <w:sz w:val="22"/>
                <w:szCs w:val="22"/>
                <w:lang w:eastAsia="ru-RU"/>
              </w:rPr>
              <w:t>0,00</w:t>
            </w:r>
          </w:p>
        </w:tc>
        <w:tc>
          <w:tcPr>
            <w:tcW w:w="92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179 435 052,51</w:t>
            </w:r>
          </w:p>
        </w:tc>
        <w:tc>
          <w:tcPr>
            <w:tcW w:w="91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85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345"/>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1.3.2</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На обеспечение сбалансированности федерального бюджета</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2 964 828 747,49</w:t>
            </w:r>
          </w:p>
        </w:tc>
        <w:tc>
          <w:tcPr>
            <w:tcW w:w="91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85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345"/>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1.3.3</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На финансирование дефицита федерального бюджета</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1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1 119 500 000,00</w:t>
            </w:r>
          </w:p>
        </w:tc>
        <w:tc>
          <w:tcPr>
            <w:tcW w:w="85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66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1.3.4</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На финансирование дефицита бюджета Фонда социального страхования</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1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24 500 000,00</w:t>
            </w:r>
          </w:p>
        </w:tc>
        <w:tc>
          <w:tcPr>
            <w:tcW w:w="85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30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1.3.5</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На погашение государственного внешнего долга</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1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85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30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1.3.6</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 xml:space="preserve">Перечисление средств для покупки </w:t>
            </w:r>
            <w:r w:rsidRPr="003A1313">
              <w:rPr>
                <w:rFonts w:eastAsia="Times New Roman"/>
                <w:sz w:val="22"/>
                <w:szCs w:val="22"/>
                <w:lang w:eastAsia="ru-RU"/>
              </w:rPr>
              <w:lastRenderedPageBreak/>
              <w:t>иностранной валюты</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lastRenderedPageBreak/>
              <w:t>449 245 992,13</w:t>
            </w:r>
          </w:p>
        </w:tc>
        <w:tc>
          <w:tcPr>
            <w:tcW w:w="92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388 455 951,81</w:t>
            </w:r>
          </w:p>
        </w:tc>
        <w:tc>
          <w:tcPr>
            <w:tcW w:w="91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85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196 038 951,26</w:t>
            </w:r>
          </w:p>
        </w:tc>
      </w:tr>
      <w:tr w:rsidR="002D4E07" w:rsidRPr="003A1313" w:rsidTr="00F35CEE">
        <w:trPr>
          <w:trHeight w:val="30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lastRenderedPageBreak/>
              <w:t>1.3.7</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На размещение в финансовые активы</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17 940 482,98</w:t>
            </w:r>
          </w:p>
        </w:tc>
        <w:tc>
          <w:tcPr>
            <w:tcW w:w="92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26 927 778,62</w:t>
            </w:r>
          </w:p>
        </w:tc>
        <w:tc>
          <w:tcPr>
            <w:tcW w:w="91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858"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1.4</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Сальдо поступлений и выбытий (+, -)</w:t>
            </w:r>
          </w:p>
        </w:tc>
        <w:tc>
          <w:tcPr>
            <w:tcW w:w="86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8"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1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150 000 000,00</w:t>
            </w:r>
          </w:p>
        </w:tc>
        <w:tc>
          <w:tcPr>
            <w:tcW w:w="858"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-150 000 000,00</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1.5</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Остаток средств на конец периода</w:t>
            </w:r>
          </w:p>
        </w:tc>
        <w:tc>
          <w:tcPr>
            <w:tcW w:w="86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8"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1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150 000 000,00</w:t>
            </w:r>
          </w:p>
        </w:tc>
        <w:tc>
          <w:tcPr>
            <w:tcW w:w="858"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r>
      <w:tr w:rsidR="002D4E07" w:rsidRPr="003A1313" w:rsidTr="00F35CEE">
        <w:trPr>
          <w:trHeight w:val="255"/>
        </w:trPr>
        <w:tc>
          <w:tcPr>
            <w:tcW w:w="5000" w:type="pct"/>
            <w:gridSpan w:val="6"/>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p>
        </w:tc>
      </w:tr>
      <w:tr w:rsidR="002D4E07" w:rsidRPr="003A1313" w:rsidTr="00F35CEE">
        <w:trPr>
          <w:trHeight w:val="255"/>
        </w:trPr>
        <w:tc>
          <w:tcPr>
            <w:tcW w:w="1442" w:type="pct"/>
            <w:gridSpan w:val="2"/>
            <w:shd w:val="clear" w:color="auto" w:fill="auto"/>
            <w:vAlign w:val="center"/>
            <w:hideMark/>
          </w:tcPr>
          <w:p w:rsidR="002D4E07" w:rsidRPr="003A1313" w:rsidRDefault="002D4E07" w:rsidP="002D4E07">
            <w:pPr>
              <w:spacing w:after="0" w:line="240" w:lineRule="auto"/>
              <w:jc w:val="center"/>
              <w:rPr>
                <w:rFonts w:eastAsia="Times New Roman"/>
                <w:i/>
                <w:iCs/>
                <w:sz w:val="22"/>
                <w:szCs w:val="22"/>
                <w:lang w:eastAsia="ru-RU"/>
              </w:rPr>
            </w:pPr>
            <w:r w:rsidRPr="003A1313">
              <w:rPr>
                <w:rFonts w:eastAsia="Times New Roman"/>
                <w:i/>
                <w:iCs/>
                <w:sz w:val="22"/>
                <w:szCs w:val="22"/>
                <w:lang w:eastAsia="ru-RU"/>
              </w:rPr>
              <w:t>счет в долларах США</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i/>
                <w:iCs/>
                <w:sz w:val="22"/>
                <w:szCs w:val="22"/>
                <w:lang w:eastAsia="ru-RU"/>
              </w:rPr>
            </w:pPr>
            <w:r w:rsidRPr="003A1313">
              <w:rPr>
                <w:rFonts w:eastAsia="Times New Roman"/>
                <w:i/>
                <w:iCs/>
                <w:sz w:val="22"/>
                <w:szCs w:val="22"/>
                <w:lang w:eastAsia="ru-RU"/>
              </w:rPr>
              <w:t> </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c>
          <w:tcPr>
            <w:tcW w:w="91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c>
          <w:tcPr>
            <w:tcW w:w="85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1.6</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Остаток средств на начало периода</w:t>
            </w:r>
          </w:p>
        </w:tc>
        <w:tc>
          <w:tcPr>
            <w:tcW w:w="86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63 988 172,64</w:t>
            </w:r>
          </w:p>
        </w:tc>
        <w:tc>
          <w:tcPr>
            <w:tcW w:w="91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26 028 688,66</w:t>
            </w:r>
          </w:p>
        </w:tc>
        <w:tc>
          <w:tcPr>
            <w:tcW w:w="85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8 160 701,59</w:t>
            </w:r>
          </w:p>
        </w:tc>
      </w:tr>
      <w:tr w:rsidR="002D4E07" w:rsidRPr="003A1313" w:rsidTr="00F35CEE">
        <w:trPr>
          <w:trHeight w:val="30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1.6.1</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Поступления на счет</w:t>
            </w:r>
          </w:p>
        </w:tc>
        <w:tc>
          <w:tcPr>
            <w:tcW w:w="86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64 644 826,09</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2 818 596,28</w:t>
            </w:r>
          </w:p>
        </w:tc>
        <w:tc>
          <w:tcPr>
            <w:tcW w:w="91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85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2 915 822,78</w:t>
            </w:r>
          </w:p>
        </w:tc>
      </w:tr>
      <w:tr w:rsidR="002D4E07" w:rsidRPr="003A1313" w:rsidTr="00F35CEE">
        <w:trPr>
          <w:trHeight w:val="30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1.6.2</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Выбытие со счета</w:t>
            </w:r>
          </w:p>
        </w:tc>
        <w:tc>
          <w:tcPr>
            <w:tcW w:w="86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656 653,45</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40 778 080,26</w:t>
            </w:r>
          </w:p>
        </w:tc>
        <w:tc>
          <w:tcPr>
            <w:tcW w:w="91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17 867 987,06</w:t>
            </w:r>
          </w:p>
        </w:tc>
        <w:tc>
          <w:tcPr>
            <w:tcW w:w="85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1.7</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Сальдо поступлений и выбытий (+, -)</w:t>
            </w:r>
          </w:p>
        </w:tc>
        <w:tc>
          <w:tcPr>
            <w:tcW w:w="86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63 988 172,64</w:t>
            </w:r>
          </w:p>
        </w:tc>
        <w:tc>
          <w:tcPr>
            <w:tcW w:w="92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-37 959 483,99</w:t>
            </w:r>
          </w:p>
        </w:tc>
        <w:tc>
          <w:tcPr>
            <w:tcW w:w="91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-17 867 987,06</w:t>
            </w:r>
          </w:p>
        </w:tc>
        <w:tc>
          <w:tcPr>
            <w:tcW w:w="85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2 915 822,78</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1.8</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Остаток средств на конец периода</w:t>
            </w:r>
          </w:p>
        </w:tc>
        <w:tc>
          <w:tcPr>
            <w:tcW w:w="86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63 988 172,64</w:t>
            </w:r>
          </w:p>
        </w:tc>
        <w:tc>
          <w:tcPr>
            <w:tcW w:w="92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26 028 688,66</w:t>
            </w:r>
          </w:p>
        </w:tc>
        <w:tc>
          <w:tcPr>
            <w:tcW w:w="91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8 160 701,59</w:t>
            </w:r>
          </w:p>
        </w:tc>
        <w:tc>
          <w:tcPr>
            <w:tcW w:w="85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11 076 524,38</w:t>
            </w:r>
          </w:p>
        </w:tc>
      </w:tr>
      <w:tr w:rsidR="002D4E07" w:rsidRPr="003A1313" w:rsidTr="00F35CEE">
        <w:trPr>
          <w:trHeight w:val="255"/>
        </w:trPr>
        <w:tc>
          <w:tcPr>
            <w:tcW w:w="5000" w:type="pct"/>
            <w:gridSpan w:val="6"/>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p>
        </w:tc>
      </w:tr>
      <w:tr w:rsidR="002D4E07" w:rsidRPr="003A1313" w:rsidTr="00F35CEE">
        <w:trPr>
          <w:trHeight w:val="255"/>
        </w:trPr>
        <w:tc>
          <w:tcPr>
            <w:tcW w:w="1442" w:type="pct"/>
            <w:gridSpan w:val="2"/>
            <w:shd w:val="clear" w:color="auto" w:fill="auto"/>
            <w:vAlign w:val="center"/>
            <w:hideMark/>
          </w:tcPr>
          <w:p w:rsidR="002D4E07" w:rsidRPr="003A1313" w:rsidRDefault="002D4E07" w:rsidP="002D4E07">
            <w:pPr>
              <w:spacing w:after="0" w:line="240" w:lineRule="auto"/>
              <w:jc w:val="center"/>
              <w:rPr>
                <w:rFonts w:eastAsia="Times New Roman"/>
                <w:i/>
                <w:iCs/>
                <w:sz w:val="22"/>
                <w:szCs w:val="22"/>
                <w:lang w:eastAsia="ru-RU"/>
              </w:rPr>
            </w:pPr>
            <w:r w:rsidRPr="003A1313">
              <w:rPr>
                <w:rFonts w:eastAsia="Times New Roman"/>
                <w:i/>
                <w:iCs/>
                <w:sz w:val="22"/>
                <w:szCs w:val="22"/>
                <w:lang w:eastAsia="ru-RU"/>
              </w:rPr>
              <w:t>счет в евро</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i/>
                <w:iCs/>
                <w:sz w:val="22"/>
                <w:szCs w:val="22"/>
                <w:lang w:eastAsia="ru-RU"/>
              </w:rPr>
            </w:pPr>
            <w:r w:rsidRPr="003A1313">
              <w:rPr>
                <w:rFonts w:eastAsia="Times New Roman"/>
                <w:i/>
                <w:iCs/>
                <w:sz w:val="22"/>
                <w:szCs w:val="22"/>
                <w:lang w:eastAsia="ru-RU"/>
              </w:rPr>
              <w:t> </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c>
          <w:tcPr>
            <w:tcW w:w="91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c>
          <w:tcPr>
            <w:tcW w:w="85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1.9</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Остаток средств на начало периода</w:t>
            </w:r>
          </w:p>
        </w:tc>
        <w:tc>
          <w:tcPr>
            <w:tcW w:w="86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43 814 592,81</w:t>
            </w:r>
          </w:p>
        </w:tc>
        <w:tc>
          <w:tcPr>
            <w:tcW w:w="91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18 302 589,81</w:t>
            </w:r>
          </w:p>
        </w:tc>
        <w:tc>
          <w:tcPr>
            <w:tcW w:w="85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6 818 189,64</w:t>
            </w:r>
          </w:p>
        </w:tc>
      </w:tr>
      <w:tr w:rsidR="002D4E07" w:rsidRPr="003A1313" w:rsidTr="00F35CEE">
        <w:trPr>
          <w:trHeight w:val="30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1.9.1</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Поступления на счет</w:t>
            </w:r>
          </w:p>
        </w:tc>
        <w:tc>
          <w:tcPr>
            <w:tcW w:w="86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43 814 592,81</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3 721 537,33</w:t>
            </w:r>
          </w:p>
        </w:tc>
        <w:tc>
          <w:tcPr>
            <w:tcW w:w="91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1 310 378,03</w:t>
            </w:r>
          </w:p>
        </w:tc>
        <w:tc>
          <w:tcPr>
            <w:tcW w:w="85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2 217 191,19</w:t>
            </w:r>
          </w:p>
        </w:tc>
      </w:tr>
      <w:tr w:rsidR="002D4E07" w:rsidRPr="003A1313" w:rsidTr="00F35CEE">
        <w:trPr>
          <w:trHeight w:val="30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1.9.2</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Выбытие со счета</w:t>
            </w:r>
          </w:p>
        </w:tc>
        <w:tc>
          <w:tcPr>
            <w:tcW w:w="86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29 233 540,32</w:t>
            </w:r>
          </w:p>
        </w:tc>
        <w:tc>
          <w:tcPr>
            <w:tcW w:w="91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12 794 778,21</w:t>
            </w:r>
          </w:p>
        </w:tc>
        <w:tc>
          <w:tcPr>
            <w:tcW w:w="85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1.10</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Сальдо поступлений и выбытий (+, -)</w:t>
            </w:r>
          </w:p>
        </w:tc>
        <w:tc>
          <w:tcPr>
            <w:tcW w:w="86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43 814 592,81</w:t>
            </w:r>
          </w:p>
        </w:tc>
        <w:tc>
          <w:tcPr>
            <w:tcW w:w="92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-25 512 002,99</w:t>
            </w:r>
          </w:p>
        </w:tc>
        <w:tc>
          <w:tcPr>
            <w:tcW w:w="91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-11 484 400,18</w:t>
            </w:r>
          </w:p>
        </w:tc>
        <w:tc>
          <w:tcPr>
            <w:tcW w:w="85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2 217 191,19</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1.11</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Остаток средств на конец периода</w:t>
            </w:r>
          </w:p>
        </w:tc>
        <w:tc>
          <w:tcPr>
            <w:tcW w:w="86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43 814 592,81</w:t>
            </w:r>
          </w:p>
        </w:tc>
        <w:tc>
          <w:tcPr>
            <w:tcW w:w="92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18 302 589,81</w:t>
            </w:r>
          </w:p>
        </w:tc>
        <w:tc>
          <w:tcPr>
            <w:tcW w:w="91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6 818 189,64</w:t>
            </w:r>
          </w:p>
        </w:tc>
        <w:tc>
          <w:tcPr>
            <w:tcW w:w="85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9 035 380,82</w:t>
            </w:r>
          </w:p>
        </w:tc>
      </w:tr>
      <w:tr w:rsidR="002D4E07" w:rsidRPr="003A1313" w:rsidTr="00F35CEE">
        <w:trPr>
          <w:trHeight w:val="255"/>
        </w:trPr>
        <w:tc>
          <w:tcPr>
            <w:tcW w:w="5000" w:type="pct"/>
            <w:gridSpan w:val="6"/>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p>
        </w:tc>
      </w:tr>
      <w:tr w:rsidR="002D4E07" w:rsidRPr="003A1313" w:rsidTr="00F35CEE">
        <w:trPr>
          <w:trHeight w:val="255"/>
        </w:trPr>
        <w:tc>
          <w:tcPr>
            <w:tcW w:w="1442" w:type="pct"/>
            <w:gridSpan w:val="2"/>
            <w:shd w:val="clear" w:color="auto" w:fill="auto"/>
            <w:vAlign w:val="center"/>
            <w:hideMark/>
          </w:tcPr>
          <w:p w:rsidR="002D4E07" w:rsidRPr="003A1313" w:rsidRDefault="002D4E07" w:rsidP="002D4E07">
            <w:pPr>
              <w:spacing w:after="0" w:line="240" w:lineRule="auto"/>
              <w:jc w:val="center"/>
              <w:rPr>
                <w:rFonts w:eastAsia="Times New Roman"/>
                <w:i/>
                <w:iCs/>
                <w:sz w:val="22"/>
                <w:szCs w:val="22"/>
                <w:lang w:eastAsia="ru-RU"/>
              </w:rPr>
            </w:pPr>
            <w:r w:rsidRPr="003A1313">
              <w:rPr>
                <w:rFonts w:eastAsia="Times New Roman"/>
                <w:i/>
                <w:iCs/>
                <w:sz w:val="22"/>
                <w:szCs w:val="22"/>
                <w:lang w:eastAsia="ru-RU"/>
              </w:rPr>
              <w:t>счет в фунтах стерлингов</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i/>
                <w:iCs/>
                <w:sz w:val="22"/>
                <w:szCs w:val="22"/>
                <w:lang w:eastAsia="ru-RU"/>
              </w:rPr>
            </w:pPr>
            <w:r w:rsidRPr="003A1313">
              <w:rPr>
                <w:rFonts w:eastAsia="Times New Roman"/>
                <w:i/>
                <w:iCs/>
                <w:sz w:val="22"/>
                <w:szCs w:val="22"/>
                <w:lang w:eastAsia="ru-RU"/>
              </w:rPr>
              <w:t> </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c>
          <w:tcPr>
            <w:tcW w:w="91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c>
          <w:tcPr>
            <w:tcW w:w="85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1.12</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Остаток средств на начало периода</w:t>
            </w:r>
          </w:p>
        </w:tc>
        <w:tc>
          <w:tcPr>
            <w:tcW w:w="86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7 308 843,90</w:t>
            </w:r>
          </w:p>
        </w:tc>
        <w:tc>
          <w:tcPr>
            <w:tcW w:w="91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4 206 470,97</w:t>
            </w:r>
          </w:p>
        </w:tc>
        <w:tc>
          <w:tcPr>
            <w:tcW w:w="85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1 166 961,46</w:t>
            </w:r>
          </w:p>
        </w:tc>
      </w:tr>
      <w:tr w:rsidR="002D4E07" w:rsidRPr="003A1313" w:rsidTr="00F35CEE">
        <w:trPr>
          <w:trHeight w:val="315"/>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1.12.1</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Поступления на счет</w:t>
            </w:r>
          </w:p>
        </w:tc>
        <w:tc>
          <w:tcPr>
            <w:tcW w:w="861" w:type="pct"/>
            <w:shd w:val="clear" w:color="auto" w:fill="auto"/>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7 308 843,90</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2 721 714,29</w:t>
            </w:r>
          </w:p>
        </w:tc>
        <w:tc>
          <w:tcPr>
            <w:tcW w:w="91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85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412 187,89</w:t>
            </w:r>
          </w:p>
        </w:tc>
      </w:tr>
      <w:tr w:rsidR="002D4E07" w:rsidRPr="003A1313" w:rsidTr="00F35CEE">
        <w:trPr>
          <w:trHeight w:val="30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1.12.2</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Выбытие со счета</w:t>
            </w:r>
          </w:p>
        </w:tc>
        <w:tc>
          <w:tcPr>
            <w:tcW w:w="86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5 824 087,23</w:t>
            </w:r>
          </w:p>
        </w:tc>
        <w:tc>
          <w:tcPr>
            <w:tcW w:w="91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3 039 509,51</w:t>
            </w:r>
          </w:p>
        </w:tc>
        <w:tc>
          <w:tcPr>
            <w:tcW w:w="85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1.13</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Сальдо поступлений и выбытий (+, -)</w:t>
            </w:r>
          </w:p>
        </w:tc>
        <w:tc>
          <w:tcPr>
            <w:tcW w:w="86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7 308 843,90</w:t>
            </w:r>
          </w:p>
        </w:tc>
        <w:tc>
          <w:tcPr>
            <w:tcW w:w="92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-3 102 372,94</w:t>
            </w:r>
          </w:p>
        </w:tc>
        <w:tc>
          <w:tcPr>
            <w:tcW w:w="91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-3 039 509,51</w:t>
            </w:r>
          </w:p>
        </w:tc>
        <w:tc>
          <w:tcPr>
            <w:tcW w:w="85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412 187,89</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1.14</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Остаток средств на конец периода</w:t>
            </w:r>
          </w:p>
        </w:tc>
        <w:tc>
          <w:tcPr>
            <w:tcW w:w="86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7 308 843,90</w:t>
            </w:r>
          </w:p>
        </w:tc>
        <w:tc>
          <w:tcPr>
            <w:tcW w:w="92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4 206 470,97</w:t>
            </w:r>
          </w:p>
        </w:tc>
        <w:tc>
          <w:tcPr>
            <w:tcW w:w="91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1 166 961,46</w:t>
            </w:r>
          </w:p>
        </w:tc>
        <w:tc>
          <w:tcPr>
            <w:tcW w:w="858"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1 579 149,35</w:t>
            </w:r>
          </w:p>
        </w:tc>
      </w:tr>
      <w:tr w:rsidR="002D4E07" w:rsidRPr="003A1313" w:rsidTr="00F35CEE">
        <w:trPr>
          <w:trHeight w:val="255"/>
        </w:trPr>
        <w:tc>
          <w:tcPr>
            <w:tcW w:w="5000" w:type="pct"/>
            <w:gridSpan w:val="6"/>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p>
        </w:tc>
      </w:tr>
      <w:tr w:rsidR="002D4E07" w:rsidRPr="003A1313" w:rsidTr="00F35CEE">
        <w:trPr>
          <w:trHeight w:val="255"/>
        </w:trPr>
        <w:tc>
          <w:tcPr>
            <w:tcW w:w="1442" w:type="pct"/>
            <w:gridSpan w:val="2"/>
            <w:shd w:val="clear" w:color="auto" w:fill="auto"/>
            <w:vAlign w:val="center"/>
            <w:hideMark/>
          </w:tcPr>
          <w:p w:rsidR="002D4E07" w:rsidRPr="003A1313" w:rsidRDefault="002D4E07" w:rsidP="002D4E07">
            <w:pPr>
              <w:spacing w:after="0" w:line="240" w:lineRule="auto"/>
              <w:jc w:val="center"/>
              <w:rPr>
                <w:rFonts w:eastAsia="Times New Roman"/>
                <w:i/>
                <w:iCs/>
                <w:sz w:val="22"/>
                <w:szCs w:val="22"/>
                <w:lang w:eastAsia="ru-RU"/>
              </w:rPr>
            </w:pPr>
            <w:r w:rsidRPr="003A1313">
              <w:rPr>
                <w:rFonts w:eastAsia="Times New Roman"/>
                <w:i/>
                <w:iCs/>
                <w:sz w:val="22"/>
                <w:szCs w:val="22"/>
                <w:lang w:eastAsia="ru-RU"/>
              </w:rPr>
              <w:t>финансовые активы (СДР)</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i/>
                <w:iCs/>
                <w:sz w:val="22"/>
                <w:szCs w:val="22"/>
                <w:lang w:eastAsia="ru-RU"/>
              </w:rPr>
            </w:pPr>
            <w:r w:rsidRPr="003A1313">
              <w:rPr>
                <w:rFonts w:eastAsia="Times New Roman"/>
                <w:i/>
                <w:iCs/>
                <w:sz w:val="22"/>
                <w:szCs w:val="22"/>
                <w:lang w:eastAsia="ru-RU"/>
              </w:rPr>
              <w:t> </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c>
          <w:tcPr>
            <w:tcW w:w="91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c>
          <w:tcPr>
            <w:tcW w:w="85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 </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1.15</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Остаток средств на начало периода</w:t>
            </w:r>
          </w:p>
        </w:tc>
        <w:tc>
          <w:tcPr>
            <w:tcW w:w="86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8"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446 875,00</w:t>
            </w:r>
          </w:p>
        </w:tc>
        <w:tc>
          <w:tcPr>
            <w:tcW w:w="91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991 943,00</w:t>
            </w:r>
          </w:p>
        </w:tc>
        <w:tc>
          <w:tcPr>
            <w:tcW w:w="858"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991 943,00</w:t>
            </w:r>
          </w:p>
        </w:tc>
      </w:tr>
      <w:tr w:rsidR="002D4E07" w:rsidRPr="003A1313" w:rsidTr="00F35CEE">
        <w:trPr>
          <w:trHeight w:val="315"/>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1.15.1</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Поступление</w:t>
            </w:r>
          </w:p>
        </w:tc>
        <w:tc>
          <w:tcPr>
            <w:tcW w:w="861" w:type="pct"/>
            <w:shd w:val="clear" w:color="auto" w:fill="auto"/>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446 875,00</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545 068,00</w:t>
            </w:r>
          </w:p>
        </w:tc>
        <w:tc>
          <w:tcPr>
            <w:tcW w:w="91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85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r>
      <w:tr w:rsidR="002D4E07" w:rsidRPr="003A1313" w:rsidTr="00F35CEE">
        <w:trPr>
          <w:trHeight w:val="300"/>
        </w:trPr>
        <w:tc>
          <w:tcPr>
            <w:tcW w:w="310" w:type="pct"/>
            <w:shd w:val="clear" w:color="auto" w:fill="auto"/>
            <w:noWrap/>
            <w:vAlign w:val="center"/>
            <w:hideMark/>
          </w:tcPr>
          <w:p w:rsidR="002D4E07" w:rsidRPr="003A1313" w:rsidRDefault="002D4E07" w:rsidP="002D4E07">
            <w:pPr>
              <w:spacing w:after="0" w:line="240" w:lineRule="auto"/>
              <w:jc w:val="center"/>
              <w:rPr>
                <w:rFonts w:eastAsia="Times New Roman"/>
                <w:sz w:val="22"/>
                <w:szCs w:val="22"/>
                <w:lang w:eastAsia="ru-RU"/>
              </w:rPr>
            </w:pPr>
            <w:r w:rsidRPr="003A1313">
              <w:rPr>
                <w:rFonts w:eastAsia="Times New Roman"/>
                <w:sz w:val="22"/>
                <w:szCs w:val="22"/>
                <w:lang w:eastAsia="ru-RU"/>
              </w:rPr>
              <w:t>1.15.2</w:t>
            </w:r>
          </w:p>
        </w:tc>
        <w:tc>
          <w:tcPr>
            <w:tcW w:w="1132" w:type="pct"/>
            <w:shd w:val="clear" w:color="auto" w:fill="auto"/>
            <w:vAlign w:val="center"/>
            <w:hideMark/>
          </w:tcPr>
          <w:p w:rsidR="002D4E07" w:rsidRPr="003A1313" w:rsidRDefault="002D4E07" w:rsidP="002D4E07">
            <w:pPr>
              <w:spacing w:after="0" w:line="240" w:lineRule="auto"/>
              <w:rPr>
                <w:rFonts w:eastAsia="Times New Roman"/>
                <w:sz w:val="22"/>
                <w:szCs w:val="22"/>
                <w:lang w:eastAsia="ru-RU"/>
              </w:rPr>
            </w:pPr>
            <w:r w:rsidRPr="003A1313">
              <w:rPr>
                <w:rFonts w:eastAsia="Times New Roman"/>
                <w:sz w:val="22"/>
                <w:szCs w:val="22"/>
                <w:lang w:eastAsia="ru-RU"/>
              </w:rPr>
              <w:t>Выбытие</w:t>
            </w:r>
          </w:p>
        </w:tc>
        <w:tc>
          <w:tcPr>
            <w:tcW w:w="86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1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858"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991 943,00</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1.16</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Сальдо поступлений и выбытий (+, -)</w:t>
            </w:r>
          </w:p>
        </w:tc>
        <w:tc>
          <w:tcPr>
            <w:tcW w:w="86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446 875,00</w:t>
            </w:r>
          </w:p>
        </w:tc>
        <w:tc>
          <w:tcPr>
            <w:tcW w:w="928"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545 068,00</w:t>
            </w:r>
          </w:p>
        </w:tc>
        <w:tc>
          <w:tcPr>
            <w:tcW w:w="91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858"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-991 943,00</w:t>
            </w:r>
          </w:p>
        </w:tc>
      </w:tr>
      <w:tr w:rsidR="002D4E07" w:rsidRPr="003A1313" w:rsidTr="00F35CEE">
        <w:trPr>
          <w:trHeight w:val="315"/>
        </w:trPr>
        <w:tc>
          <w:tcPr>
            <w:tcW w:w="310" w:type="pct"/>
            <w:shd w:val="clear" w:color="auto" w:fill="DBE5F1" w:themeFill="accent1" w:themeFillTint="33"/>
            <w:noWrap/>
            <w:vAlign w:val="center"/>
            <w:hideMark/>
          </w:tcPr>
          <w:p w:rsidR="002D4E07" w:rsidRPr="003A1313" w:rsidRDefault="002D4E07" w:rsidP="002D4E07">
            <w:pPr>
              <w:spacing w:after="0" w:line="240" w:lineRule="auto"/>
              <w:jc w:val="center"/>
              <w:rPr>
                <w:rFonts w:eastAsia="Times New Roman"/>
                <w:b/>
                <w:bCs/>
                <w:sz w:val="22"/>
                <w:szCs w:val="22"/>
                <w:lang w:eastAsia="ru-RU"/>
              </w:rPr>
            </w:pPr>
            <w:r w:rsidRPr="003A1313">
              <w:rPr>
                <w:rFonts w:eastAsia="Times New Roman"/>
                <w:b/>
                <w:bCs/>
                <w:sz w:val="22"/>
                <w:szCs w:val="22"/>
                <w:lang w:eastAsia="ru-RU"/>
              </w:rPr>
              <w:t>1.17</w:t>
            </w:r>
          </w:p>
        </w:tc>
        <w:tc>
          <w:tcPr>
            <w:tcW w:w="1132" w:type="pct"/>
            <w:shd w:val="clear" w:color="auto" w:fill="DBE5F1" w:themeFill="accent1" w:themeFillTint="33"/>
            <w:vAlign w:val="center"/>
            <w:hideMark/>
          </w:tcPr>
          <w:p w:rsidR="002D4E07" w:rsidRPr="003A1313" w:rsidRDefault="002D4E07" w:rsidP="002D4E07">
            <w:pPr>
              <w:spacing w:after="0" w:line="240" w:lineRule="auto"/>
              <w:rPr>
                <w:rFonts w:eastAsia="Times New Roman"/>
                <w:b/>
                <w:bCs/>
                <w:sz w:val="22"/>
                <w:szCs w:val="22"/>
                <w:lang w:eastAsia="ru-RU"/>
              </w:rPr>
            </w:pPr>
            <w:r w:rsidRPr="003A1313">
              <w:rPr>
                <w:rFonts w:eastAsia="Times New Roman"/>
                <w:b/>
                <w:bCs/>
                <w:sz w:val="22"/>
                <w:szCs w:val="22"/>
                <w:lang w:eastAsia="ru-RU"/>
              </w:rPr>
              <w:t>Остаток средств на конец периода</w:t>
            </w:r>
          </w:p>
        </w:tc>
        <w:tc>
          <w:tcPr>
            <w:tcW w:w="86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446 875,00</w:t>
            </w:r>
          </w:p>
        </w:tc>
        <w:tc>
          <w:tcPr>
            <w:tcW w:w="928"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991 943,00</w:t>
            </w:r>
          </w:p>
        </w:tc>
        <w:tc>
          <w:tcPr>
            <w:tcW w:w="91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991 943,00</w:t>
            </w:r>
          </w:p>
        </w:tc>
        <w:tc>
          <w:tcPr>
            <w:tcW w:w="858"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r>
    </w:tbl>
    <w:p w:rsidR="002D4E07" w:rsidRPr="007B31A1" w:rsidRDefault="002D4E07" w:rsidP="002D4E07">
      <w:pPr>
        <w:spacing w:after="0" w:line="240" w:lineRule="auto"/>
        <w:jc w:val="both"/>
        <w:rPr>
          <w:i/>
          <w:sz w:val="26"/>
          <w:szCs w:val="26"/>
        </w:rPr>
      </w:pPr>
      <w:r w:rsidRPr="007B31A1">
        <w:rPr>
          <w:i/>
        </w:rPr>
        <w:t>Источник: Федеральное Казначейство</w:t>
      </w:r>
      <w:r w:rsidRPr="007B31A1">
        <w:rPr>
          <w:i/>
          <w:sz w:val="26"/>
          <w:szCs w:val="26"/>
        </w:rPr>
        <w:t xml:space="preserve">, </w:t>
      </w:r>
      <w:r w:rsidRPr="007B31A1">
        <w:rPr>
          <w:rStyle w:val="osntexttransparent"/>
          <w:i/>
        </w:rPr>
        <w:t xml:space="preserve">Сведения о движении средств </w:t>
      </w:r>
      <w:r>
        <w:rPr>
          <w:rStyle w:val="osntexttransparent"/>
          <w:i/>
        </w:rPr>
        <w:t>Резервного фонда</w:t>
      </w:r>
      <w:r w:rsidRPr="007B31A1">
        <w:rPr>
          <w:rStyle w:val="osntexttransparent"/>
          <w:i/>
        </w:rPr>
        <w:t xml:space="preserve"> за 2008-201</w:t>
      </w:r>
      <w:r>
        <w:rPr>
          <w:rStyle w:val="osntexttransparent"/>
          <w:i/>
        </w:rPr>
        <w:t>1</w:t>
      </w:r>
      <w:r w:rsidRPr="007B31A1">
        <w:rPr>
          <w:rStyle w:val="osntexttransparent"/>
          <w:i/>
        </w:rPr>
        <w:t xml:space="preserve"> гг.</w:t>
      </w:r>
    </w:p>
    <w:p w:rsidR="002D4E07" w:rsidRDefault="002D4E07" w:rsidP="002D4E07">
      <w:pPr>
        <w:spacing w:after="0"/>
        <w:ind w:firstLine="851"/>
        <w:rPr>
          <w:i/>
          <w:sz w:val="26"/>
          <w:szCs w:val="26"/>
        </w:rPr>
      </w:pPr>
    </w:p>
    <w:p w:rsidR="002D4E07" w:rsidRDefault="002D4E07" w:rsidP="002D4E07">
      <w:pPr>
        <w:spacing w:after="0"/>
        <w:ind w:firstLine="851"/>
        <w:jc w:val="center"/>
        <w:rPr>
          <w:i/>
          <w:sz w:val="26"/>
          <w:szCs w:val="26"/>
        </w:rPr>
      </w:pPr>
    </w:p>
    <w:p w:rsidR="002D4E07" w:rsidRDefault="002D4E07" w:rsidP="002D4E07">
      <w:pPr>
        <w:spacing w:after="0"/>
        <w:ind w:firstLine="851"/>
        <w:jc w:val="center"/>
        <w:rPr>
          <w:i/>
          <w:sz w:val="26"/>
          <w:szCs w:val="26"/>
        </w:rPr>
      </w:pPr>
    </w:p>
    <w:p w:rsidR="002D4E07" w:rsidRDefault="002D4E07" w:rsidP="002D4E07">
      <w:pPr>
        <w:spacing w:after="0"/>
        <w:ind w:firstLine="851"/>
        <w:jc w:val="center"/>
        <w:rPr>
          <w:b/>
          <w:sz w:val="26"/>
          <w:szCs w:val="26"/>
        </w:rPr>
      </w:pPr>
      <w:r w:rsidRPr="00300AA1">
        <w:rPr>
          <w:b/>
          <w:sz w:val="26"/>
          <w:szCs w:val="26"/>
        </w:rPr>
        <w:t xml:space="preserve">Движение средств Фонда национального благосостояния </w:t>
      </w:r>
    </w:p>
    <w:p w:rsidR="002D4E07" w:rsidRPr="00300AA1" w:rsidRDefault="002D4E07" w:rsidP="002D4E07">
      <w:pPr>
        <w:spacing w:after="0"/>
        <w:ind w:firstLine="851"/>
        <w:jc w:val="center"/>
        <w:rPr>
          <w:b/>
          <w:sz w:val="26"/>
          <w:szCs w:val="26"/>
        </w:rPr>
      </w:pPr>
      <w:r w:rsidRPr="00300AA1">
        <w:rPr>
          <w:b/>
          <w:sz w:val="26"/>
          <w:szCs w:val="26"/>
        </w:rPr>
        <w:t>в 2008-2010 гг. (тыс. единиц в</w:t>
      </w:r>
      <w:r>
        <w:rPr>
          <w:b/>
          <w:sz w:val="26"/>
          <w:szCs w:val="26"/>
        </w:rPr>
        <w:t>а</w:t>
      </w:r>
      <w:r w:rsidRPr="00300AA1">
        <w:rPr>
          <w:b/>
          <w:sz w:val="26"/>
          <w:szCs w:val="26"/>
        </w:rPr>
        <w:t>лют)</w:t>
      </w:r>
    </w:p>
    <w:tbl>
      <w:tblPr>
        <w:tblW w:w="500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766"/>
        <w:gridCol w:w="3192"/>
        <w:gridCol w:w="1896"/>
        <w:gridCol w:w="1716"/>
        <w:gridCol w:w="1716"/>
      </w:tblGrid>
      <w:tr w:rsidR="002D4E07" w:rsidRPr="00300AA1" w:rsidTr="00F35CEE">
        <w:trPr>
          <w:trHeight w:val="299"/>
        </w:trPr>
        <w:tc>
          <w:tcPr>
            <w:tcW w:w="412" w:type="pct"/>
            <w:vMerge w:val="restart"/>
            <w:shd w:val="clear" w:color="auto" w:fill="4F81BD" w:themeFill="accent1"/>
            <w:vAlign w:val="center"/>
            <w:hideMark/>
          </w:tcPr>
          <w:p w:rsidR="002D4E07" w:rsidRPr="00300AA1" w:rsidRDefault="002D4E07" w:rsidP="002D4E07">
            <w:pPr>
              <w:spacing w:after="0" w:line="240" w:lineRule="auto"/>
              <w:jc w:val="center"/>
              <w:rPr>
                <w:rFonts w:eastAsia="Times New Roman"/>
                <w:b/>
                <w:bCs/>
                <w:color w:val="FFFFFF" w:themeColor="background1"/>
                <w:sz w:val="22"/>
                <w:szCs w:val="22"/>
                <w:lang w:eastAsia="ru-RU"/>
              </w:rPr>
            </w:pPr>
            <w:r w:rsidRPr="00300AA1">
              <w:rPr>
                <w:rFonts w:eastAsia="Times New Roman"/>
                <w:b/>
                <w:bCs/>
                <w:color w:val="FFFFFF" w:themeColor="background1"/>
                <w:sz w:val="22"/>
                <w:szCs w:val="22"/>
                <w:lang w:eastAsia="ru-RU"/>
              </w:rPr>
              <w:t>№п/п</w:t>
            </w:r>
          </w:p>
        </w:tc>
        <w:tc>
          <w:tcPr>
            <w:tcW w:w="1719" w:type="pct"/>
            <w:vMerge w:val="restart"/>
            <w:shd w:val="clear" w:color="auto" w:fill="4F81BD" w:themeFill="accent1"/>
            <w:vAlign w:val="center"/>
            <w:hideMark/>
          </w:tcPr>
          <w:p w:rsidR="002D4E07" w:rsidRPr="00300AA1" w:rsidRDefault="002D4E07" w:rsidP="002D4E07">
            <w:pPr>
              <w:spacing w:after="0" w:line="240" w:lineRule="auto"/>
              <w:jc w:val="center"/>
              <w:rPr>
                <w:rFonts w:eastAsia="Times New Roman"/>
                <w:b/>
                <w:bCs/>
                <w:color w:val="FFFFFF" w:themeColor="background1"/>
                <w:sz w:val="22"/>
                <w:szCs w:val="22"/>
                <w:lang w:eastAsia="ru-RU"/>
              </w:rPr>
            </w:pPr>
            <w:r w:rsidRPr="00300AA1">
              <w:rPr>
                <w:rFonts w:eastAsia="Times New Roman"/>
                <w:b/>
                <w:bCs/>
                <w:color w:val="FFFFFF" w:themeColor="background1"/>
                <w:sz w:val="22"/>
                <w:szCs w:val="22"/>
                <w:lang w:eastAsia="ru-RU"/>
              </w:rPr>
              <w:t>Наименование показателя</w:t>
            </w:r>
          </w:p>
        </w:tc>
        <w:tc>
          <w:tcPr>
            <w:tcW w:w="1021" w:type="pct"/>
            <w:vMerge w:val="restart"/>
            <w:shd w:val="clear" w:color="auto" w:fill="4F81BD" w:themeFill="accent1"/>
            <w:vAlign w:val="center"/>
            <w:hideMark/>
          </w:tcPr>
          <w:p w:rsidR="002D4E07" w:rsidRPr="003A1313" w:rsidRDefault="002D4E07" w:rsidP="00F35CEE">
            <w:pPr>
              <w:spacing w:after="0" w:line="240" w:lineRule="auto"/>
              <w:jc w:val="center"/>
              <w:rPr>
                <w:rFonts w:eastAsia="Times New Roman"/>
                <w:b/>
                <w:bCs/>
                <w:color w:val="FFFFFF" w:themeColor="background1"/>
                <w:sz w:val="22"/>
                <w:szCs w:val="22"/>
                <w:lang w:eastAsia="ru-RU"/>
              </w:rPr>
            </w:pPr>
            <w:r w:rsidRPr="003A1313">
              <w:rPr>
                <w:rFonts w:eastAsia="Times New Roman"/>
                <w:b/>
                <w:bCs/>
                <w:color w:val="FFFFFF" w:themeColor="background1"/>
                <w:sz w:val="22"/>
                <w:szCs w:val="22"/>
                <w:lang w:eastAsia="ru-RU"/>
              </w:rPr>
              <w:t>2008</w:t>
            </w:r>
          </w:p>
        </w:tc>
        <w:tc>
          <w:tcPr>
            <w:tcW w:w="924" w:type="pct"/>
            <w:vMerge w:val="restart"/>
            <w:shd w:val="clear" w:color="auto" w:fill="4F81BD" w:themeFill="accent1"/>
            <w:vAlign w:val="center"/>
            <w:hideMark/>
          </w:tcPr>
          <w:p w:rsidR="002D4E07" w:rsidRPr="00300AA1" w:rsidRDefault="002D4E07" w:rsidP="002D4E07">
            <w:pPr>
              <w:spacing w:after="0" w:line="240" w:lineRule="auto"/>
              <w:jc w:val="center"/>
              <w:rPr>
                <w:rFonts w:eastAsia="Times New Roman"/>
                <w:b/>
                <w:bCs/>
                <w:color w:val="FFFFFF" w:themeColor="background1"/>
                <w:sz w:val="22"/>
                <w:szCs w:val="22"/>
                <w:lang w:eastAsia="ru-RU"/>
              </w:rPr>
            </w:pPr>
            <w:r w:rsidRPr="00300AA1">
              <w:rPr>
                <w:rFonts w:eastAsia="Times New Roman"/>
                <w:b/>
                <w:bCs/>
                <w:color w:val="FFFFFF" w:themeColor="background1"/>
                <w:sz w:val="22"/>
                <w:szCs w:val="22"/>
                <w:lang w:eastAsia="ru-RU"/>
              </w:rPr>
              <w:t>2009</w:t>
            </w:r>
          </w:p>
        </w:tc>
        <w:tc>
          <w:tcPr>
            <w:tcW w:w="924" w:type="pct"/>
            <w:vMerge w:val="restart"/>
            <w:shd w:val="clear" w:color="auto" w:fill="4F81BD" w:themeFill="accent1"/>
            <w:vAlign w:val="center"/>
            <w:hideMark/>
          </w:tcPr>
          <w:p w:rsidR="002D4E07" w:rsidRPr="00300AA1" w:rsidRDefault="002D4E07" w:rsidP="002D4E07">
            <w:pPr>
              <w:spacing w:after="0" w:line="240" w:lineRule="auto"/>
              <w:jc w:val="center"/>
              <w:rPr>
                <w:rFonts w:eastAsia="Times New Roman"/>
                <w:b/>
                <w:bCs/>
                <w:color w:val="FFFFFF" w:themeColor="background1"/>
                <w:sz w:val="22"/>
                <w:szCs w:val="22"/>
                <w:lang w:eastAsia="ru-RU"/>
              </w:rPr>
            </w:pPr>
            <w:r w:rsidRPr="00300AA1">
              <w:rPr>
                <w:rFonts w:eastAsia="Times New Roman"/>
                <w:b/>
                <w:bCs/>
                <w:color w:val="FFFFFF" w:themeColor="background1"/>
                <w:sz w:val="22"/>
                <w:szCs w:val="22"/>
                <w:lang w:eastAsia="ru-RU"/>
              </w:rPr>
              <w:t>2010</w:t>
            </w:r>
          </w:p>
        </w:tc>
      </w:tr>
      <w:tr w:rsidR="002D4E07" w:rsidRPr="00300AA1" w:rsidTr="00F35CEE">
        <w:trPr>
          <w:trHeight w:val="299"/>
        </w:trPr>
        <w:tc>
          <w:tcPr>
            <w:tcW w:w="412" w:type="pct"/>
            <w:vMerge/>
            <w:shd w:val="clear" w:color="auto" w:fill="4F81BD" w:themeFill="accent1"/>
            <w:vAlign w:val="center"/>
            <w:hideMark/>
          </w:tcPr>
          <w:p w:rsidR="002D4E07" w:rsidRPr="00300AA1" w:rsidRDefault="002D4E07" w:rsidP="002D4E07">
            <w:pPr>
              <w:spacing w:after="0" w:line="240" w:lineRule="auto"/>
              <w:rPr>
                <w:rFonts w:eastAsia="Times New Roman"/>
                <w:sz w:val="22"/>
                <w:szCs w:val="22"/>
                <w:lang w:eastAsia="ru-RU"/>
              </w:rPr>
            </w:pPr>
          </w:p>
        </w:tc>
        <w:tc>
          <w:tcPr>
            <w:tcW w:w="1719" w:type="pct"/>
            <w:vMerge/>
            <w:shd w:val="clear" w:color="auto" w:fill="4F81BD" w:themeFill="accent1"/>
            <w:vAlign w:val="center"/>
            <w:hideMark/>
          </w:tcPr>
          <w:p w:rsidR="002D4E07" w:rsidRPr="00300AA1" w:rsidRDefault="002D4E07" w:rsidP="002D4E07">
            <w:pPr>
              <w:spacing w:after="0" w:line="240" w:lineRule="auto"/>
              <w:rPr>
                <w:rFonts w:eastAsia="Times New Roman"/>
                <w:sz w:val="22"/>
                <w:szCs w:val="22"/>
                <w:lang w:eastAsia="ru-RU"/>
              </w:rPr>
            </w:pPr>
          </w:p>
        </w:tc>
        <w:tc>
          <w:tcPr>
            <w:tcW w:w="1021" w:type="pct"/>
            <w:vMerge/>
            <w:shd w:val="clear" w:color="auto" w:fill="4F81BD" w:themeFill="accent1"/>
            <w:vAlign w:val="center"/>
            <w:hideMark/>
          </w:tcPr>
          <w:p w:rsidR="002D4E07" w:rsidRPr="003A1313" w:rsidRDefault="002D4E07" w:rsidP="00F35CEE">
            <w:pPr>
              <w:spacing w:after="0" w:line="240" w:lineRule="auto"/>
              <w:jc w:val="right"/>
              <w:rPr>
                <w:rFonts w:eastAsia="Times New Roman"/>
                <w:b/>
                <w:bCs/>
                <w:sz w:val="22"/>
                <w:szCs w:val="22"/>
                <w:lang w:eastAsia="ru-RU"/>
              </w:rPr>
            </w:pPr>
          </w:p>
        </w:tc>
        <w:tc>
          <w:tcPr>
            <w:tcW w:w="924" w:type="pct"/>
            <w:vMerge/>
            <w:shd w:val="clear" w:color="auto" w:fill="4F81BD" w:themeFill="accent1"/>
            <w:vAlign w:val="center"/>
            <w:hideMark/>
          </w:tcPr>
          <w:p w:rsidR="002D4E07" w:rsidRPr="00300AA1" w:rsidRDefault="002D4E07" w:rsidP="002D4E07">
            <w:pPr>
              <w:spacing w:after="0" w:line="240" w:lineRule="auto"/>
              <w:rPr>
                <w:rFonts w:eastAsia="Times New Roman"/>
                <w:b/>
                <w:bCs/>
                <w:sz w:val="22"/>
                <w:szCs w:val="22"/>
                <w:lang w:eastAsia="ru-RU"/>
              </w:rPr>
            </w:pPr>
          </w:p>
        </w:tc>
        <w:tc>
          <w:tcPr>
            <w:tcW w:w="924" w:type="pct"/>
            <w:vMerge/>
            <w:shd w:val="clear" w:color="auto" w:fill="4F81BD" w:themeFill="accent1"/>
            <w:vAlign w:val="center"/>
            <w:hideMark/>
          </w:tcPr>
          <w:p w:rsidR="002D4E07" w:rsidRPr="00300AA1" w:rsidRDefault="002D4E07" w:rsidP="002D4E07">
            <w:pPr>
              <w:spacing w:after="0" w:line="240" w:lineRule="auto"/>
              <w:rPr>
                <w:rFonts w:eastAsia="Times New Roman"/>
                <w:b/>
                <w:bCs/>
                <w:sz w:val="22"/>
                <w:szCs w:val="22"/>
                <w:lang w:eastAsia="ru-RU"/>
              </w:rPr>
            </w:pPr>
          </w:p>
        </w:tc>
      </w:tr>
      <w:tr w:rsidR="002D4E07" w:rsidRPr="00300AA1" w:rsidTr="00F35CEE">
        <w:trPr>
          <w:trHeight w:val="255"/>
        </w:trPr>
        <w:tc>
          <w:tcPr>
            <w:tcW w:w="2131" w:type="pct"/>
            <w:gridSpan w:val="2"/>
            <w:shd w:val="clear" w:color="auto" w:fill="FFFFFF" w:themeFill="background1"/>
            <w:vAlign w:val="center"/>
            <w:hideMark/>
          </w:tcPr>
          <w:p w:rsidR="002D4E07" w:rsidRPr="00300AA1" w:rsidRDefault="002D4E07" w:rsidP="002D4E07">
            <w:pPr>
              <w:spacing w:after="0" w:line="240" w:lineRule="auto"/>
              <w:jc w:val="center"/>
              <w:rPr>
                <w:rFonts w:eastAsia="Times New Roman"/>
                <w:i/>
                <w:iCs/>
                <w:sz w:val="22"/>
                <w:szCs w:val="22"/>
                <w:lang w:eastAsia="ru-RU"/>
              </w:rPr>
            </w:pPr>
            <w:r w:rsidRPr="00300AA1">
              <w:rPr>
                <w:rFonts w:eastAsia="Times New Roman"/>
                <w:i/>
                <w:iCs/>
                <w:sz w:val="22"/>
                <w:szCs w:val="22"/>
                <w:lang w:eastAsia="ru-RU"/>
              </w:rPr>
              <w:t xml:space="preserve">счет в валюте Российской Федерации </w:t>
            </w:r>
          </w:p>
        </w:tc>
        <w:tc>
          <w:tcPr>
            <w:tcW w:w="1021" w:type="pct"/>
            <w:shd w:val="clear" w:color="auto" w:fill="auto"/>
            <w:vAlign w:val="center"/>
            <w:hideMark/>
          </w:tcPr>
          <w:p w:rsidR="002D4E07" w:rsidRPr="003A1313" w:rsidRDefault="002D4E07" w:rsidP="00F35CEE">
            <w:pPr>
              <w:spacing w:after="0" w:line="240" w:lineRule="auto"/>
              <w:jc w:val="right"/>
              <w:rPr>
                <w:rFonts w:eastAsia="Times New Roman"/>
                <w:i/>
                <w:iCs/>
                <w:sz w:val="22"/>
                <w:szCs w:val="22"/>
                <w:lang w:eastAsia="ru-RU"/>
              </w:rPr>
            </w:pPr>
            <w:r w:rsidRPr="003A1313">
              <w:rPr>
                <w:rFonts w:eastAsia="Times New Roman"/>
                <w:i/>
                <w:iCs/>
                <w:sz w:val="22"/>
                <w:szCs w:val="22"/>
                <w:lang w:eastAsia="ru-RU"/>
              </w:rPr>
              <w:t> </w:t>
            </w:r>
          </w:p>
        </w:tc>
        <w:tc>
          <w:tcPr>
            <w:tcW w:w="924" w:type="pct"/>
            <w:shd w:val="clear" w:color="auto" w:fill="auto"/>
            <w:noWrap/>
            <w:vAlign w:val="bottom"/>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 </w:t>
            </w:r>
          </w:p>
        </w:tc>
        <w:tc>
          <w:tcPr>
            <w:tcW w:w="924" w:type="pct"/>
            <w:shd w:val="clear" w:color="auto" w:fill="auto"/>
            <w:noWrap/>
            <w:vAlign w:val="bottom"/>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 </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1.1</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Остаток средств на начало периода</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0,00</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0,00</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1.2</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Поступления на счет, всего:</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1 547 416 292,12</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439 352 534,07</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5 502 375,00</w:t>
            </w:r>
          </w:p>
        </w:tc>
      </w:tr>
      <w:tr w:rsidR="002D4E07" w:rsidRPr="00300AA1" w:rsidTr="00F35CEE">
        <w:trPr>
          <w:trHeight w:val="300"/>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1.2.1</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Нефтегазовые доходы</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1 547 416 292,12</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0,00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0,00</w:t>
            </w:r>
          </w:p>
        </w:tc>
      </w:tr>
      <w:tr w:rsidR="002D4E07" w:rsidRPr="00300AA1" w:rsidTr="00F35CEE">
        <w:trPr>
          <w:trHeight w:val="300"/>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1.2.2</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Поступления от продажи иностранной валюты</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171 811 039,29</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5 502 375,00</w:t>
            </w:r>
          </w:p>
        </w:tc>
      </w:tr>
      <w:tr w:rsidR="002D4E07" w:rsidRPr="00300AA1" w:rsidTr="00F35CEE">
        <w:trPr>
          <w:trHeight w:val="300"/>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1.2.3</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Поступления от реализации финансовых активов</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175 000 000,00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0,00</w:t>
            </w:r>
          </w:p>
        </w:tc>
      </w:tr>
      <w:tr w:rsidR="002D4E07" w:rsidRPr="00300AA1" w:rsidTr="00F35CEE">
        <w:trPr>
          <w:trHeight w:val="300"/>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1.2.4</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Доходы от управления средствами</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92 541 494,78</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0,00</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1.3</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Выбытия со счета, всего:</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1 547 416 292,12</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439 352 534,07</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5 502 375,00</w:t>
            </w:r>
          </w:p>
        </w:tc>
      </w:tr>
      <w:tr w:rsidR="002D4E07" w:rsidRPr="00300AA1" w:rsidTr="00F35CEE">
        <w:trPr>
          <w:trHeight w:val="300"/>
        </w:trPr>
        <w:tc>
          <w:tcPr>
            <w:tcW w:w="412" w:type="pct"/>
            <w:shd w:val="clear" w:color="auto" w:fill="auto"/>
            <w:noWrap/>
            <w:vAlign w:val="center"/>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1.3.1</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На софинансирование добровольных пенсионных накоплений граждан</w:t>
            </w:r>
          </w:p>
        </w:tc>
        <w:tc>
          <w:tcPr>
            <w:tcW w:w="102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4" w:type="pct"/>
            <w:shd w:val="clear" w:color="auto" w:fill="auto"/>
            <w:vAlign w:val="center"/>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0,00</w:t>
            </w:r>
          </w:p>
        </w:tc>
        <w:tc>
          <w:tcPr>
            <w:tcW w:w="924" w:type="pct"/>
            <w:shd w:val="clear" w:color="auto" w:fill="auto"/>
            <w:vAlign w:val="center"/>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2 495 021,13</w:t>
            </w:r>
          </w:p>
        </w:tc>
      </w:tr>
      <w:tr w:rsidR="002D4E07" w:rsidRPr="00300AA1" w:rsidTr="00F35CEE">
        <w:trPr>
          <w:trHeight w:val="600"/>
        </w:trPr>
        <w:tc>
          <w:tcPr>
            <w:tcW w:w="412" w:type="pct"/>
            <w:shd w:val="clear" w:color="auto" w:fill="auto"/>
            <w:noWrap/>
            <w:vAlign w:val="center"/>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1.3.2</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На обеспечение сбалансированности (покрытия дефицита) бюджета Пенсионного фонда Российской Федерации</w:t>
            </w:r>
          </w:p>
        </w:tc>
        <w:tc>
          <w:tcPr>
            <w:tcW w:w="102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4" w:type="pct"/>
            <w:shd w:val="clear" w:color="auto" w:fill="auto"/>
            <w:vAlign w:val="center"/>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0,00</w:t>
            </w:r>
          </w:p>
        </w:tc>
        <w:tc>
          <w:tcPr>
            <w:tcW w:w="924" w:type="pct"/>
            <w:shd w:val="clear" w:color="auto" w:fill="auto"/>
            <w:vAlign w:val="center"/>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0,00</w:t>
            </w:r>
          </w:p>
        </w:tc>
      </w:tr>
      <w:tr w:rsidR="002D4E07" w:rsidRPr="00300AA1" w:rsidTr="00F35CEE">
        <w:trPr>
          <w:trHeight w:val="300"/>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1.3.3</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Перечисление средств для покупки иностранной валюты</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1 547 416 291,12</w:t>
            </w:r>
          </w:p>
        </w:tc>
        <w:tc>
          <w:tcPr>
            <w:tcW w:w="924" w:type="pct"/>
            <w:shd w:val="clear" w:color="auto" w:fill="auto"/>
            <w:vAlign w:val="center"/>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230 330 591,07</w:t>
            </w:r>
          </w:p>
        </w:tc>
        <w:tc>
          <w:tcPr>
            <w:tcW w:w="924" w:type="pct"/>
            <w:shd w:val="clear" w:color="auto" w:fill="auto"/>
            <w:vAlign w:val="center"/>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7 353,87</w:t>
            </w:r>
          </w:p>
        </w:tc>
      </w:tr>
      <w:tr w:rsidR="002D4E07" w:rsidRPr="00300AA1" w:rsidTr="00F35CEE">
        <w:trPr>
          <w:trHeight w:val="300"/>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1.3.4</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На размещение в финансовые активы</w:t>
            </w:r>
          </w:p>
        </w:tc>
        <w:tc>
          <w:tcPr>
            <w:tcW w:w="1021" w:type="pct"/>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4" w:type="pct"/>
            <w:shd w:val="clear" w:color="auto" w:fill="auto"/>
            <w:vAlign w:val="center"/>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209 021 943,00</w:t>
            </w:r>
          </w:p>
        </w:tc>
        <w:tc>
          <w:tcPr>
            <w:tcW w:w="924" w:type="pct"/>
            <w:shd w:val="clear" w:color="auto" w:fill="auto"/>
            <w:vAlign w:val="center"/>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3 000 000,00</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1.4</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Сальдо поступлений и выбытий (+, -)</w:t>
            </w:r>
          </w:p>
        </w:tc>
        <w:tc>
          <w:tcPr>
            <w:tcW w:w="102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0,00</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0,00</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1.5</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Остаток средств на конец периода</w:t>
            </w:r>
          </w:p>
        </w:tc>
        <w:tc>
          <w:tcPr>
            <w:tcW w:w="102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0,00</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0,00</w:t>
            </w:r>
          </w:p>
        </w:tc>
      </w:tr>
      <w:tr w:rsidR="002D4E07" w:rsidRPr="00300AA1" w:rsidTr="00F35CEE">
        <w:trPr>
          <w:trHeight w:val="255"/>
        </w:trPr>
        <w:tc>
          <w:tcPr>
            <w:tcW w:w="5000" w:type="pct"/>
            <w:gridSpan w:val="5"/>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p>
        </w:tc>
      </w:tr>
      <w:tr w:rsidR="002D4E07" w:rsidRPr="00300AA1" w:rsidTr="00F35CEE">
        <w:trPr>
          <w:trHeight w:val="255"/>
        </w:trPr>
        <w:tc>
          <w:tcPr>
            <w:tcW w:w="2131" w:type="pct"/>
            <w:gridSpan w:val="2"/>
            <w:shd w:val="clear" w:color="auto" w:fill="auto"/>
            <w:vAlign w:val="center"/>
            <w:hideMark/>
          </w:tcPr>
          <w:p w:rsidR="002D4E07" w:rsidRPr="00300AA1" w:rsidRDefault="002D4E07" w:rsidP="002D4E07">
            <w:pPr>
              <w:spacing w:after="0" w:line="240" w:lineRule="auto"/>
              <w:jc w:val="center"/>
              <w:rPr>
                <w:rFonts w:eastAsia="Times New Roman"/>
                <w:i/>
                <w:iCs/>
                <w:sz w:val="22"/>
                <w:szCs w:val="22"/>
                <w:lang w:eastAsia="ru-RU"/>
              </w:rPr>
            </w:pPr>
            <w:r w:rsidRPr="00300AA1">
              <w:rPr>
                <w:rFonts w:eastAsia="Times New Roman"/>
                <w:i/>
                <w:iCs/>
                <w:sz w:val="22"/>
                <w:szCs w:val="22"/>
                <w:lang w:eastAsia="ru-RU"/>
              </w:rPr>
              <w:t>счет в долларах США</w:t>
            </w:r>
          </w:p>
        </w:tc>
        <w:tc>
          <w:tcPr>
            <w:tcW w:w="1021" w:type="pct"/>
            <w:shd w:val="clear" w:color="auto" w:fill="auto"/>
            <w:vAlign w:val="center"/>
            <w:hideMark/>
          </w:tcPr>
          <w:p w:rsidR="002D4E07" w:rsidRPr="003A1313" w:rsidRDefault="002D4E07" w:rsidP="00F35CEE">
            <w:pPr>
              <w:spacing w:after="0" w:line="240" w:lineRule="auto"/>
              <w:jc w:val="right"/>
              <w:rPr>
                <w:rFonts w:eastAsia="Times New Roman"/>
                <w:i/>
                <w:iCs/>
                <w:sz w:val="22"/>
                <w:szCs w:val="22"/>
                <w:lang w:eastAsia="ru-RU"/>
              </w:rPr>
            </w:pPr>
            <w:r w:rsidRPr="003A1313">
              <w:rPr>
                <w:rFonts w:eastAsia="Times New Roman"/>
                <w:i/>
                <w:iCs/>
                <w:sz w:val="22"/>
                <w:szCs w:val="22"/>
                <w:lang w:eastAsia="ru-RU"/>
              </w:rPr>
              <w:t> </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 </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 </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1.6</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Остаток средств на начало периода</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33 956 355,98</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32 643 763,63</w:t>
            </w:r>
          </w:p>
        </w:tc>
      </w:tr>
      <w:tr w:rsidR="002D4E07" w:rsidRPr="00300AA1" w:rsidTr="00F35CEE">
        <w:trPr>
          <w:trHeight w:val="300"/>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1.6.1</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Поступления на счет</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33 956 355,98</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3 311 603,77</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107,73</w:t>
            </w:r>
          </w:p>
        </w:tc>
      </w:tr>
      <w:tr w:rsidR="002D4E07" w:rsidRPr="00300AA1" w:rsidTr="00F35CEE">
        <w:trPr>
          <w:trHeight w:val="300"/>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1.6.2</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Выбытие со счета</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4 624 196,12</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4 336 807,94</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1.7</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Сальдо поступлений и выбытий (+, -)</w:t>
            </w:r>
          </w:p>
        </w:tc>
        <w:tc>
          <w:tcPr>
            <w:tcW w:w="102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33 956 355,98</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-1 312 592,35</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-4 336 700,21</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1.8</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Остаток средств на конец периода</w:t>
            </w:r>
          </w:p>
        </w:tc>
        <w:tc>
          <w:tcPr>
            <w:tcW w:w="102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33 956 355,98</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32 643 763,63</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28 307 063,41</w:t>
            </w:r>
          </w:p>
        </w:tc>
      </w:tr>
      <w:tr w:rsidR="002D4E07" w:rsidRPr="00300AA1" w:rsidTr="00F35CEE">
        <w:trPr>
          <w:trHeight w:val="255"/>
        </w:trPr>
        <w:tc>
          <w:tcPr>
            <w:tcW w:w="5000" w:type="pct"/>
            <w:gridSpan w:val="5"/>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p>
        </w:tc>
      </w:tr>
      <w:tr w:rsidR="002D4E07" w:rsidRPr="00300AA1" w:rsidTr="00F35CEE">
        <w:trPr>
          <w:trHeight w:val="255"/>
        </w:trPr>
        <w:tc>
          <w:tcPr>
            <w:tcW w:w="2131" w:type="pct"/>
            <w:gridSpan w:val="2"/>
            <w:shd w:val="clear" w:color="auto" w:fill="auto"/>
            <w:vAlign w:val="center"/>
            <w:hideMark/>
          </w:tcPr>
          <w:p w:rsidR="002D4E07" w:rsidRPr="00300AA1" w:rsidRDefault="002D4E07" w:rsidP="002D4E07">
            <w:pPr>
              <w:spacing w:after="0" w:line="240" w:lineRule="auto"/>
              <w:jc w:val="center"/>
              <w:rPr>
                <w:rFonts w:eastAsia="Times New Roman"/>
                <w:i/>
                <w:iCs/>
                <w:sz w:val="22"/>
                <w:szCs w:val="22"/>
                <w:lang w:eastAsia="ru-RU"/>
              </w:rPr>
            </w:pPr>
            <w:r w:rsidRPr="00300AA1">
              <w:rPr>
                <w:rFonts w:eastAsia="Times New Roman"/>
                <w:i/>
                <w:iCs/>
                <w:sz w:val="22"/>
                <w:szCs w:val="22"/>
                <w:lang w:eastAsia="ru-RU"/>
              </w:rPr>
              <w:t>счет в евро</w:t>
            </w:r>
          </w:p>
        </w:tc>
        <w:tc>
          <w:tcPr>
            <w:tcW w:w="1021" w:type="pct"/>
            <w:shd w:val="clear" w:color="auto" w:fill="auto"/>
            <w:vAlign w:val="center"/>
            <w:hideMark/>
          </w:tcPr>
          <w:p w:rsidR="002D4E07" w:rsidRPr="003A1313" w:rsidRDefault="002D4E07" w:rsidP="00F35CEE">
            <w:pPr>
              <w:spacing w:after="0" w:line="240" w:lineRule="auto"/>
              <w:jc w:val="right"/>
              <w:rPr>
                <w:rFonts w:eastAsia="Times New Roman"/>
                <w:i/>
                <w:iCs/>
                <w:sz w:val="22"/>
                <w:szCs w:val="22"/>
                <w:lang w:eastAsia="ru-RU"/>
              </w:rPr>
            </w:pPr>
            <w:r w:rsidRPr="003A1313">
              <w:rPr>
                <w:rFonts w:eastAsia="Times New Roman"/>
                <w:i/>
                <w:iCs/>
                <w:sz w:val="22"/>
                <w:szCs w:val="22"/>
                <w:lang w:eastAsia="ru-RU"/>
              </w:rPr>
              <w:t> </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 </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 </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1.9</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Остаток средств на начало периода</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24 130 538,32</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24 695 991,75</w:t>
            </w:r>
          </w:p>
        </w:tc>
      </w:tr>
      <w:tr w:rsidR="002D4E07" w:rsidRPr="00300AA1" w:rsidTr="00F35CEE">
        <w:trPr>
          <w:trHeight w:val="315"/>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1.9.1</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Поступления на счет</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27 122 214,67</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2 343 706,37</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84,96</w:t>
            </w:r>
          </w:p>
        </w:tc>
      </w:tr>
      <w:tr w:rsidR="002D4E07" w:rsidRPr="00300AA1" w:rsidTr="00F35CEE">
        <w:trPr>
          <w:trHeight w:val="315"/>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1.9.2</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Выбытие со счета</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2 991 676,35</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1 778 252,94</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62 462,90</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1.10</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Сальдо поступлений и выбытий (+, -)</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24 130 538,32</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565 453,43</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-62 377,94</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lastRenderedPageBreak/>
              <w:t>1.11</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Остаток средств на конец периода</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24 130 538,32</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24 695 991,75</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24 633 613,81</w:t>
            </w:r>
          </w:p>
        </w:tc>
      </w:tr>
      <w:tr w:rsidR="002D4E07" w:rsidRPr="00300AA1" w:rsidTr="00F35CEE">
        <w:trPr>
          <w:trHeight w:val="255"/>
        </w:trPr>
        <w:tc>
          <w:tcPr>
            <w:tcW w:w="5000" w:type="pct"/>
            <w:gridSpan w:val="5"/>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p>
        </w:tc>
      </w:tr>
      <w:tr w:rsidR="002D4E07" w:rsidRPr="00300AA1" w:rsidTr="00F35CEE">
        <w:trPr>
          <w:trHeight w:val="255"/>
        </w:trPr>
        <w:tc>
          <w:tcPr>
            <w:tcW w:w="2131" w:type="pct"/>
            <w:gridSpan w:val="2"/>
            <w:shd w:val="clear" w:color="auto" w:fill="auto"/>
            <w:vAlign w:val="center"/>
            <w:hideMark/>
          </w:tcPr>
          <w:p w:rsidR="002D4E07" w:rsidRPr="00300AA1" w:rsidRDefault="002D4E07" w:rsidP="002D4E07">
            <w:pPr>
              <w:spacing w:after="0" w:line="240" w:lineRule="auto"/>
              <w:jc w:val="center"/>
              <w:rPr>
                <w:rFonts w:eastAsia="Times New Roman"/>
                <w:i/>
                <w:iCs/>
                <w:sz w:val="22"/>
                <w:szCs w:val="22"/>
                <w:lang w:eastAsia="ru-RU"/>
              </w:rPr>
            </w:pPr>
            <w:r w:rsidRPr="00300AA1">
              <w:rPr>
                <w:rFonts w:eastAsia="Times New Roman"/>
                <w:i/>
                <w:iCs/>
                <w:sz w:val="22"/>
                <w:szCs w:val="22"/>
                <w:lang w:eastAsia="ru-RU"/>
              </w:rPr>
              <w:t>счет в фунтах стерлингов</w:t>
            </w:r>
          </w:p>
        </w:tc>
        <w:tc>
          <w:tcPr>
            <w:tcW w:w="1021" w:type="pct"/>
            <w:shd w:val="clear" w:color="auto" w:fill="auto"/>
            <w:vAlign w:val="center"/>
            <w:hideMark/>
          </w:tcPr>
          <w:p w:rsidR="002D4E07" w:rsidRPr="003A1313" w:rsidRDefault="002D4E07" w:rsidP="00F35CEE">
            <w:pPr>
              <w:spacing w:after="0" w:line="240" w:lineRule="auto"/>
              <w:jc w:val="right"/>
              <w:rPr>
                <w:rFonts w:eastAsia="Times New Roman"/>
                <w:i/>
                <w:iCs/>
                <w:sz w:val="22"/>
                <w:szCs w:val="22"/>
                <w:lang w:eastAsia="ru-RU"/>
              </w:rPr>
            </w:pPr>
            <w:r w:rsidRPr="003A1313">
              <w:rPr>
                <w:rFonts w:eastAsia="Times New Roman"/>
                <w:i/>
                <w:iCs/>
                <w:sz w:val="22"/>
                <w:szCs w:val="22"/>
                <w:lang w:eastAsia="ru-RU"/>
              </w:rPr>
              <w:t> </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 </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 </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1.12</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Остаток средств на начало периода</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4 384 389,69</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4 489 857,40</w:t>
            </w:r>
          </w:p>
        </w:tc>
      </w:tr>
      <w:tr w:rsidR="002D4E07" w:rsidRPr="00300AA1" w:rsidTr="00F35CEE">
        <w:trPr>
          <w:trHeight w:val="300"/>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1.12.1</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Поступления на счет</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4 384 389,69</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462 779,17</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16,28</w:t>
            </w:r>
          </w:p>
        </w:tc>
      </w:tr>
      <w:tr w:rsidR="002D4E07" w:rsidRPr="00300AA1" w:rsidTr="00F35CEE">
        <w:trPr>
          <w:trHeight w:val="300"/>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1.12.2</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Выбытие со счета</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357 311,46</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11 907,30</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1.13</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Сальдо поступлений и выбытий (+, -)</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4 384 389,69</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105 467,71</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-11 891,02</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1.14</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Остаток средств на конец периода</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4 384 389,69</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4 489 857,40</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4 477 966,38</w:t>
            </w:r>
          </w:p>
        </w:tc>
      </w:tr>
      <w:tr w:rsidR="002D4E07" w:rsidRPr="00300AA1" w:rsidTr="00F35CEE">
        <w:trPr>
          <w:trHeight w:val="255"/>
        </w:trPr>
        <w:tc>
          <w:tcPr>
            <w:tcW w:w="5000" w:type="pct"/>
            <w:gridSpan w:val="5"/>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p>
        </w:tc>
      </w:tr>
      <w:tr w:rsidR="002D4E07" w:rsidRPr="00300AA1" w:rsidTr="00F35CEE">
        <w:trPr>
          <w:trHeight w:val="255"/>
        </w:trPr>
        <w:tc>
          <w:tcPr>
            <w:tcW w:w="2131" w:type="pct"/>
            <w:gridSpan w:val="2"/>
            <w:shd w:val="clear" w:color="auto" w:fill="auto"/>
            <w:vAlign w:val="center"/>
            <w:hideMark/>
          </w:tcPr>
          <w:p w:rsidR="002D4E07" w:rsidRPr="00300AA1" w:rsidRDefault="002D4E07" w:rsidP="002D4E07">
            <w:pPr>
              <w:spacing w:after="0" w:line="240" w:lineRule="auto"/>
              <w:jc w:val="center"/>
              <w:rPr>
                <w:rFonts w:eastAsia="Times New Roman"/>
                <w:i/>
                <w:iCs/>
                <w:sz w:val="22"/>
                <w:szCs w:val="22"/>
                <w:lang w:eastAsia="ru-RU"/>
              </w:rPr>
            </w:pPr>
            <w:r w:rsidRPr="00300AA1">
              <w:rPr>
                <w:rFonts w:eastAsia="Times New Roman"/>
                <w:i/>
                <w:iCs/>
                <w:sz w:val="22"/>
                <w:szCs w:val="22"/>
                <w:lang w:eastAsia="ru-RU"/>
              </w:rPr>
              <w:t>финансовые активы в валюте Российской Федерации (депозиты в ВЭБе)</w:t>
            </w:r>
          </w:p>
        </w:tc>
        <w:tc>
          <w:tcPr>
            <w:tcW w:w="1021" w:type="pct"/>
            <w:shd w:val="clear" w:color="auto" w:fill="auto"/>
            <w:vAlign w:val="center"/>
            <w:hideMark/>
          </w:tcPr>
          <w:p w:rsidR="002D4E07" w:rsidRPr="003A1313" w:rsidRDefault="002D4E07" w:rsidP="00F35CEE">
            <w:pPr>
              <w:spacing w:after="0" w:line="240" w:lineRule="auto"/>
              <w:jc w:val="right"/>
              <w:rPr>
                <w:rFonts w:eastAsia="Times New Roman"/>
                <w:i/>
                <w:iCs/>
                <w:sz w:val="22"/>
                <w:szCs w:val="22"/>
                <w:lang w:eastAsia="ru-RU"/>
              </w:rPr>
            </w:pPr>
            <w:r w:rsidRPr="003A1313">
              <w:rPr>
                <w:rFonts w:eastAsia="Times New Roman"/>
                <w:i/>
                <w:iCs/>
                <w:sz w:val="22"/>
                <w:szCs w:val="22"/>
                <w:lang w:eastAsia="ru-RU"/>
              </w:rPr>
              <w:t> </w:t>
            </w:r>
          </w:p>
        </w:tc>
        <w:tc>
          <w:tcPr>
            <w:tcW w:w="924" w:type="pct"/>
            <w:shd w:val="clear" w:color="auto" w:fill="auto"/>
            <w:noWrap/>
            <w:vAlign w:val="bottom"/>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 </w:t>
            </w:r>
          </w:p>
        </w:tc>
        <w:tc>
          <w:tcPr>
            <w:tcW w:w="924" w:type="pct"/>
            <w:shd w:val="clear" w:color="auto" w:fill="auto"/>
            <w:noWrap/>
            <w:vAlign w:val="bottom"/>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 </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1.15</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Остаток средств на начало периода</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400 000 000,00</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434 021 943,00</w:t>
            </w:r>
          </w:p>
        </w:tc>
      </w:tr>
      <w:tr w:rsidR="002D4E07" w:rsidRPr="00300AA1" w:rsidTr="00F35CEE">
        <w:trPr>
          <w:trHeight w:val="300"/>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1.15.1</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Поступление</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400 000 000,00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209 021 943,00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3 000 000,00</w:t>
            </w:r>
          </w:p>
        </w:tc>
      </w:tr>
      <w:tr w:rsidR="002D4E07" w:rsidRPr="00300AA1" w:rsidTr="00F35CEE">
        <w:trPr>
          <w:trHeight w:val="300"/>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1.15.2</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Выбытие</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175 000 000,00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0,00</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1.16</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Сальдо поступлений и выбытий (+, -)</w:t>
            </w:r>
          </w:p>
        </w:tc>
        <w:tc>
          <w:tcPr>
            <w:tcW w:w="102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400 000 000,00</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34 021 943,00</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3 000 000,00</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1.17</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Остаток средств на конец периода</w:t>
            </w:r>
          </w:p>
        </w:tc>
        <w:tc>
          <w:tcPr>
            <w:tcW w:w="1021" w:type="pct"/>
            <w:shd w:val="clear" w:color="auto" w:fill="DBE5F1" w:themeFill="accent1" w:themeFillTint="33"/>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400 000 000,00</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434 021 943,00</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437 021 943,00</w:t>
            </w:r>
          </w:p>
        </w:tc>
      </w:tr>
      <w:tr w:rsidR="002D4E07" w:rsidRPr="00300AA1" w:rsidTr="00F35CEE">
        <w:trPr>
          <w:trHeight w:val="255"/>
        </w:trPr>
        <w:tc>
          <w:tcPr>
            <w:tcW w:w="5000" w:type="pct"/>
            <w:gridSpan w:val="5"/>
            <w:shd w:val="clear" w:color="auto" w:fill="auto"/>
            <w:vAlign w:val="center"/>
            <w:hideMark/>
          </w:tcPr>
          <w:p w:rsidR="002D4E07" w:rsidRPr="003A1313" w:rsidRDefault="002D4E07" w:rsidP="00F35CEE">
            <w:pPr>
              <w:spacing w:after="0" w:line="240" w:lineRule="auto"/>
              <w:jc w:val="right"/>
              <w:rPr>
                <w:rFonts w:eastAsia="Times New Roman"/>
                <w:sz w:val="22"/>
                <w:szCs w:val="22"/>
                <w:lang w:eastAsia="ru-RU"/>
              </w:rPr>
            </w:pPr>
          </w:p>
        </w:tc>
      </w:tr>
      <w:tr w:rsidR="002D4E07" w:rsidRPr="00300AA1" w:rsidTr="00F35CEE">
        <w:trPr>
          <w:trHeight w:val="255"/>
        </w:trPr>
        <w:tc>
          <w:tcPr>
            <w:tcW w:w="2131" w:type="pct"/>
            <w:gridSpan w:val="2"/>
            <w:shd w:val="clear" w:color="auto" w:fill="auto"/>
            <w:vAlign w:val="center"/>
            <w:hideMark/>
          </w:tcPr>
          <w:p w:rsidR="002D4E07" w:rsidRPr="00300AA1" w:rsidRDefault="002D4E07" w:rsidP="002D4E07">
            <w:pPr>
              <w:spacing w:after="0" w:line="240" w:lineRule="auto"/>
              <w:jc w:val="center"/>
              <w:rPr>
                <w:rFonts w:eastAsia="Times New Roman"/>
                <w:i/>
                <w:iCs/>
                <w:sz w:val="22"/>
                <w:szCs w:val="22"/>
                <w:lang w:eastAsia="ru-RU"/>
              </w:rPr>
            </w:pPr>
            <w:r w:rsidRPr="00300AA1">
              <w:rPr>
                <w:rFonts w:eastAsia="Times New Roman"/>
                <w:i/>
                <w:iCs/>
                <w:sz w:val="22"/>
                <w:szCs w:val="22"/>
                <w:lang w:eastAsia="ru-RU"/>
              </w:rPr>
              <w:t>финансовые активы в долларах США (депозиты в ВЭБе)</w:t>
            </w:r>
          </w:p>
        </w:tc>
        <w:tc>
          <w:tcPr>
            <w:tcW w:w="1021" w:type="pct"/>
            <w:shd w:val="clear" w:color="auto" w:fill="auto"/>
            <w:vAlign w:val="center"/>
            <w:hideMark/>
          </w:tcPr>
          <w:p w:rsidR="002D4E07" w:rsidRPr="003A1313" w:rsidRDefault="002D4E07" w:rsidP="00F35CEE">
            <w:pPr>
              <w:spacing w:after="0" w:line="240" w:lineRule="auto"/>
              <w:jc w:val="right"/>
              <w:rPr>
                <w:rFonts w:eastAsia="Times New Roman"/>
                <w:i/>
                <w:iCs/>
                <w:sz w:val="22"/>
                <w:szCs w:val="22"/>
                <w:lang w:eastAsia="ru-RU"/>
              </w:rPr>
            </w:pPr>
            <w:r w:rsidRPr="003A1313">
              <w:rPr>
                <w:rFonts w:eastAsia="Times New Roman"/>
                <w:i/>
                <w:iCs/>
                <w:sz w:val="22"/>
                <w:szCs w:val="22"/>
                <w:lang w:eastAsia="ru-RU"/>
              </w:rPr>
              <w:t> </w:t>
            </w:r>
          </w:p>
        </w:tc>
        <w:tc>
          <w:tcPr>
            <w:tcW w:w="924" w:type="pct"/>
            <w:shd w:val="clear" w:color="auto" w:fill="auto"/>
            <w:noWrap/>
            <w:vAlign w:val="bottom"/>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 </w:t>
            </w:r>
          </w:p>
        </w:tc>
        <w:tc>
          <w:tcPr>
            <w:tcW w:w="924" w:type="pct"/>
            <w:shd w:val="clear" w:color="auto" w:fill="auto"/>
            <w:noWrap/>
            <w:vAlign w:val="bottom"/>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 </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1.18</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Остаток средств на начало периода</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0,00</w:t>
            </w:r>
          </w:p>
        </w:tc>
        <w:tc>
          <w:tcPr>
            <w:tcW w:w="924" w:type="pct"/>
            <w:shd w:val="clear" w:color="auto" w:fill="DBE5F1" w:themeFill="accent1" w:themeFillTint="33"/>
            <w:noWrap/>
            <w:vAlign w:val="bottom"/>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2 000 000,00</w:t>
            </w:r>
          </w:p>
        </w:tc>
      </w:tr>
      <w:tr w:rsidR="002D4E07" w:rsidRPr="00300AA1" w:rsidTr="00F35CEE">
        <w:trPr>
          <w:trHeight w:val="315"/>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1.18.1</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Поступление</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2 000 000,00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4 254 000,00</w:t>
            </w:r>
          </w:p>
        </w:tc>
      </w:tr>
      <w:tr w:rsidR="002D4E07" w:rsidRPr="00300AA1" w:rsidTr="00F35CEE">
        <w:trPr>
          <w:trHeight w:val="315"/>
        </w:trPr>
        <w:tc>
          <w:tcPr>
            <w:tcW w:w="412" w:type="pct"/>
            <w:shd w:val="clear" w:color="auto" w:fill="auto"/>
            <w:noWrap/>
            <w:vAlign w:val="bottom"/>
            <w:hideMark/>
          </w:tcPr>
          <w:p w:rsidR="002D4E07" w:rsidRPr="00300AA1" w:rsidRDefault="002D4E07" w:rsidP="002D4E07">
            <w:pPr>
              <w:spacing w:after="0" w:line="240" w:lineRule="auto"/>
              <w:jc w:val="center"/>
              <w:rPr>
                <w:rFonts w:eastAsia="Times New Roman"/>
                <w:sz w:val="22"/>
                <w:szCs w:val="22"/>
                <w:lang w:eastAsia="ru-RU"/>
              </w:rPr>
            </w:pPr>
            <w:r w:rsidRPr="00300AA1">
              <w:rPr>
                <w:rFonts w:eastAsia="Times New Roman"/>
                <w:sz w:val="22"/>
                <w:szCs w:val="22"/>
                <w:lang w:eastAsia="ru-RU"/>
              </w:rPr>
              <w:t>1.18.2</w:t>
            </w:r>
          </w:p>
        </w:tc>
        <w:tc>
          <w:tcPr>
            <w:tcW w:w="1719" w:type="pct"/>
            <w:shd w:val="clear" w:color="auto" w:fill="auto"/>
            <w:vAlign w:val="center"/>
            <w:hideMark/>
          </w:tcPr>
          <w:p w:rsidR="002D4E07" w:rsidRPr="00300AA1" w:rsidRDefault="002D4E07" w:rsidP="002D4E07">
            <w:pPr>
              <w:spacing w:after="0" w:line="240" w:lineRule="auto"/>
              <w:rPr>
                <w:rFonts w:eastAsia="Times New Roman"/>
                <w:sz w:val="22"/>
                <w:szCs w:val="22"/>
                <w:lang w:eastAsia="ru-RU"/>
              </w:rPr>
            </w:pPr>
            <w:r w:rsidRPr="00300AA1">
              <w:rPr>
                <w:rFonts w:eastAsia="Times New Roman"/>
                <w:sz w:val="22"/>
                <w:szCs w:val="22"/>
                <w:lang w:eastAsia="ru-RU"/>
              </w:rPr>
              <w:t>Выбытие</w:t>
            </w:r>
          </w:p>
        </w:tc>
        <w:tc>
          <w:tcPr>
            <w:tcW w:w="1021" w:type="pct"/>
            <w:shd w:val="clear" w:color="auto" w:fill="auto"/>
            <w:noWrap/>
            <w:vAlign w:val="center"/>
            <w:hideMark/>
          </w:tcPr>
          <w:p w:rsidR="002D4E07" w:rsidRPr="003A1313" w:rsidRDefault="002D4E07" w:rsidP="00F35CEE">
            <w:pPr>
              <w:spacing w:after="0" w:line="240" w:lineRule="auto"/>
              <w:jc w:val="right"/>
              <w:rPr>
                <w:rFonts w:eastAsia="Times New Roman"/>
                <w:sz w:val="22"/>
                <w:szCs w:val="22"/>
                <w:lang w:eastAsia="ru-RU"/>
              </w:rPr>
            </w:pPr>
            <w:r w:rsidRPr="003A1313">
              <w:rPr>
                <w:rFonts w:eastAsia="Times New Roman"/>
                <w:sz w:val="22"/>
                <w:szCs w:val="22"/>
                <w:lang w:eastAsia="ru-RU"/>
              </w:rPr>
              <w:t>0,00</w:t>
            </w:r>
          </w:p>
        </w:tc>
        <w:tc>
          <w:tcPr>
            <w:tcW w:w="924" w:type="pct"/>
            <w:shd w:val="clear" w:color="auto" w:fill="auto"/>
            <w:noWrap/>
            <w:vAlign w:val="bottom"/>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0,00</w:t>
            </w:r>
          </w:p>
        </w:tc>
        <w:tc>
          <w:tcPr>
            <w:tcW w:w="924" w:type="pct"/>
            <w:shd w:val="clear" w:color="auto" w:fill="auto"/>
            <w:vAlign w:val="center"/>
            <w:hideMark/>
          </w:tcPr>
          <w:p w:rsidR="002D4E07" w:rsidRPr="00300AA1" w:rsidRDefault="002D4E07" w:rsidP="002D4E07">
            <w:pPr>
              <w:spacing w:after="0" w:line="240" w:lineRule="auto"/>
              <w:jc w:val="right"/>
              <w:rPr>
                <w:rFonts w:eastAsia="Times New Roman"/>
                <w:sz w:val="22"/>
                <w:szCs w:val="22"/>
                <w:lang w:eastAsia="ru-RU"/>
              </w:rPr>
            </w:pPr>
            <w:r w:rsidRPr="00300AA1">
              <w:rPr>
                <w:rFonts w:eastAsia="Times New Roman"/>
                <w:sz w:val="22"/>
                <w:szCs w:val="22"/>
                <w:lang w:eastAsia="ru-RU"/>
              </w:rPr>
              <w:t>0,00</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1.19</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Сальдо поступлений и выбытий (+, -)</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2 000 000,00</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4 254 000,00</w:t>
            </w:r>
          </w:p>
        </w:tc>
      </w:tr>
      <w:tr w:rsidR="002D4E07" w:rsidRPr="00300AA1" w:rsidTr="00F35CEE">
        <w:trPr>
          <w:trHeight w:val="315"/>
        </w:trPr>
        <w:tc>
          <w:tcPr>
            <w:tcW w:w="412" w:type="pct"/>
            <w:shd w:val="clear" w:color="auto" w:fill="DBE5F1" w:themeFill="accent1" w:themeFillTint="33"/>
            <w:noWrap/>
            <w:vAlign w:val="bottom"/>
            <w:hideMark/>
          </w:tcPr>
          <w:p w:rsidR="002D4E07" w:rsidRPr="00300AA1" w:rsidRDefault="002D4E07" w:rsidP="002D4E07">
            <w:pPr>
              <w:spacing w:after="0" w:line="240" w:lineRule="auto"/>
              <w:jc w:val="center"/>
              <w:rPr>
                <w:rFonts w:eastAsia="Times New Roman"/>
                <w:b/>
                <w:bCs/>
                <w:sz w:val="22"/>
                <w:szCs w:val="22"/>
                <w:lang w:eastAsia="ru-RU"/>
              </w:rPr>
            </w:pPr>
            <w:r w:rsidRPr="00300AA1">
              <w:rPr>
                <w:rFonts w:eastAsia="Times New Roman"/>
                <w:b/>
                <w:bCs/>
                <w:sz w:val="22"/>
                <w:szCs w:val="22"/>
                <w:lang w:eastAsia="ru-RU"/>
              </w:rPr>
              <w:t>1.20</w:t>
            </w:r>
          </w:p>
        </w:tc>
        <w:tc>
          <w:tcPr>
            <w:tcW w:w="1719" w:type="pct"/>
            <w:shd w:val="clear" w:color="auto" w:fill="DBE5F1" w:themeFill="accent1" w:themeFillTint="33"/>
            <w:vAlign w:val="center"/>
            <w:hideMark/>
          </w:tcPr>
          <w:p w:rsidR="002D4E07" w:rsidRPr="00300AA1" w:rsidRDefault="002D4E07" w:rsidP="002D4E07">
            <w:pPr>
              <w:spacing w:after="0" w:line="240" w:lineRule="auto"/>
              <w:rPr>
                <w:rFonts w:eastAsia="Times New Roman"/>
                <w:b/>
                <w:bCs/>
                <w:sz w:val="22"/>
                <w:szCs w:val="22"/>
                <w:lang w:eastAsia="ru-RU"/>
              </w:rPr>
            </w:pPr>
            <w:r w:rsidRPr="00300AA1">
              <w:rPr>
                <w:rFonts w:eastAsia="Times New Roman"/>
                <w:b/>
                <w:bCs/>
                <w:sz w:val="22"/>
                <w:szCs w:val="22"/>
                <w:lang w:eastAsia="ru-RU"/>
              </w:rPr>
              <w:t>Остаток средств на конец периода</w:t>
            </w:r>
          </w:p>
        </w:tc>
        <w:tc>
          <w:tcPr>
            <w:tcW w:w="1021" w:type="pct"/>
            <w:shd w:val="clear" w:color="auto" w:fill="DBE5F1" w:themeFill="accent1" w:themeFillTint="33"/>
            <w:noWrap/>
            <w:vAlign w:val="center"/>
            <w:hideMark/>
          </w:tcPr>
          <w:p w:rsidR="002D4E07" w:rsidRPr="003A1313" w:rsidRDefault="002D4E07" w:rsidP="00F35CEE">
            <w:pPr>
              <w:spacing w:after="0" w:line="240" w:lineRule="auto"/>
              <w:jc w:val="right"/>
              <w:rPr>
                <w:rFonts w:eastAsia="Times New Roman"/>
                <w:b/>
                <w:bCs/>
                <w:sz w:val="22"/>
                <w:szCs w:val="22"/>
                <w:lang w:eastAsia="ru-RU"/>
              </w:rPr>
            </w:pPr>
            <w:r w:rsidRPr="003A1313">
              <w:rPr>
                <w:rFonts w:eastAsia="Times New Roman"/>
                <w:b/>
                <w:bCs/>
                <w:sz w:val="22"/>
                <w:szCs w:val="22"/>
                <w:lang w:eastAsia="ru-RU"/>
              </w:rPr>
              <w:t>0,00</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2 000 000,00</w:t>
            </w:r>
          </w:p>
        </w:tc>
        <w:tc>
          <w:tcPr>
            <w:tcW w:w="924" w:type="pct"/>
            <w:shd w:val="clear" w:color="auto" w:fill="DBE5F1" w:themeFill="accent1" w:themeFillTint="33"/>
            <w:vAlign w:val="center"/>
            <w:hideMark/>
          </w:tcPr>
          <w:p w:rsidR="002D4E07" w:rsidRPr="00300AA1" w:rsidRDefault="002D4E07" w:rsidP="002D4E07">
            <w:pPr>
              <w:spacing w:after="0" w:line="240" w:lineRule="auto"/>
              <w:jc w:val="right"/>
              <w:rPr>
                <w:rFonts w:eastAsia="Times New Roman"/>
                <w:b/>
                <w:bCs/>
                <w:sz w:val="22"/>
                <w:szCs w:val="22"/>
                <w:lang w:eastAsia="ru-RU"/>
              </w:rPr>
            </w:pPr>
            <w:r w:rsidRPr="00300AA1">
              <w:rPr>
                <w:rFonts w:eastAsia="Times New Roman"/>
                <w:b/>
                <w:bCs/>
                <w:sz w:val="22"/>
                <w:szCs w:val="22"/>
                <w:lang w:eastAsia="ru-RU"/>
              </w:rPr>
              <w:t>6 254 000,00</w:t>
            </w:r>
          </w:p>
        </w:tc>
      </w:tr>
    </w:tbl>
    <w:p w:rsidR="002D4E07" w:rsidRPr="007B31A1" w:rsidRDefault="002D4E07" w:rsidP="002D4E07">
      <w:pPr>
        <w:spacing w:after="0" w:line="240" w:lineRule="auto"/>
        <w:jc w:val="both"/>
        <w:rPr>
          <w:i/>
          <w:sz w:val="26"/>
          <w:szCs w:val="26"/>
        </w:rPr>
      </w:pPr>
      <w:r w:rsidRPr="007B31A1">
        <w:rPr>
          <w:i/>
        </w:rPr>
        <w:t>Источник: Федеральное Казначейство</w:t>
      </w:r>
      <w:r w:rsidRPr="007B31A1">
        <w:rPr>
          <w:i/>
          <w:sz w:val="26"/>
          <w:szCs w:val="26"/>
        </w:rPr>
        <w:t xml:space="preserve">, </w:t>
      </w:r>
      <w:r w:rsidRPr="007B31A1">
        <w:rPr>
          <w:rStyle w:val="osntexttransparent"/>
          <w:i/>
        </w:rPr>
        <w:t>Сведения о движении средств Фонда национального благосостояния за 2008-2010 гг.</w:t>
      </w:r>
    </w:p>
    <w:p w:rsidR="002D4E07" w:rsidRPr="002D4E07" w:rsidRDefault="002D4E07" w:rsidP="004E6E96">
      <w:pPr>
        <w:spacing w:after="0" w:line="360" w:lineRule="auto"/>
        <w:ind w:firstLine="851"/>
        <w:jc w:val="both"/>
        <w:rPr>
          <w:sz w:val="26"/>
          <w:szCs w:val="26"/>
        </w:rPr>
      </w:pPr>
    </w:p>
    <w:sectPr w:rsidR="002D4E07" w:rsidRPr="002D4E07" w:rsidSect="00AD79D2">
      <w:headerReference w:type="default" r:id="rId26"/>
      <w:pgSz w:w="11906" w:h="16838"/>
      <w:pgMar w:top="1134" w:right="851" w:bottom="1134" w:left="1985" w:header="993"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371" w:rsidRDefault="00900371" w:rsidP="00C62E37">
      <w:pPr>
        <w:spacing w:after="0" w:line="240" w:lineRule="auto"/>
      </w:pPr>
      <w:r>
        <w:separator/>
      </w:r>
    </w:p>
  </w:endnote>
  <w:endnote w:type="continuationSeparator" w:id="1">
    <w:p w:rsidR="00900371" w:rsidRDefault="00900371" w:rsidP="00C62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201" w:usb1="08070000" w:usb2="00000010" w:usb3="00000000" w:csb0="00020004"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371" w:rsidRDefault="00900371" w:rsidP="00C62E37">
      <w:pPr>
        <w:spacing w:after="0" w:line="240" w:lineRule="auto"/>
      </w:pPr>
      <w:r>
        <w:separator/>
      </w:r>
    </w:p>
  </w:footnote>
  <w:footnote w:type="continuationSeparator" w:id="1">
    <w:p w:rsidR="00900371" w:rsidRDefault="00900371" w:rsidP="00C62E37">
      <w:pPr>
        <w:spacing w:after="0" w:line="240" w:lineRule="auto"/>
      </w:pPr>
      <w:r>
        <w:continuationSeparator/>
      </w:r>
    </w:p>
  </w:footnote>
  <w:footnote w:id="2">
    <w:p w:rsidR="00721596" w:rsidRDefault="00721596" w:rsidP="004438E4">
      <w:pPr>
        <w:pStyle w:val="a5"/>
      </w:pPr>
      <w:r>
        <w:rPr>
          <w:rStyle w:val="a7"/>
        </w:rPr>
        <w:footnoteRef/>
      </w:r>
      <w:r w:rsidRPr="002F4055">
        <w:rPr>
          <w:sz w:val="22"/>
          <w:szCs w:val="22"/>
        </w:rPr>
        <w:t xml:space="preserve">Постановление Правительства РФ от 21.04.2006 </w:t>
      </w:r>
      <w:r>
        <w:rPr>
          <w:sz w:val="22"/>
          <w:szCs w:val="22"/>
        </w:rPr>
        <w:t>№</w:t>
      </w:r>
      <w:r w:rsidRPr="002F4055">
        <w:rPr>
          <w:sz w:val="22"/>
          <w:szCs w:val="22"/>
        </w:rPr>
        <w:t xml:space="preserve"> 229 «О порядке управления средствами Стабилизационного фонда Российской Федерации»</w:t>
      </w:r>
    </w:p>
  </w:footnote>
  <w:footnote w:id="3">
    <w:p w:rsidR="00721596" w:rsidRDefault="00721596" w:rsidP="00602AEB">
      <w:pPr>
        <w:pStyle w:val="a5"/>
      </w:pPr>
      <w:r>
        <w:rPr>
          <w:rStyle w:val="a7"/>
        </w:rPr>
        <w:footnoteRef/>
      </w:r>
      <w:r w:rsidRPr="000332D8">
        <w:rPr>
          <w:sz w:val="22"/>
          <w:szCs w:val="22"/>
        </w:rPr>
        <w:t>Федеральный закон от 30 сентября 2010 г. N 245-ФЗ «О внесении изменений в Бюджетный кодекс Российской Федерации и иные законодательные акты Российской Федерации»</w:t>
      </w:r>
    </w:p>
  </w:footnote>
  <w:footnote w:id="4">
    <w:p w:rsidR="00721596" w:rsidRPr="009B3B8D" w:rsidRDefault="00721596" w:rsidP="009B3B8D">
      <w:pPr>
        <w:spacing w:after="0" w:line="240" w:lineRule="auto"/>
        <w:jc w:val="both"/>
        <w:rPr>
          <w:sz w:val="28"/>
          <w:szCs w:val="28"/>
        </w:rPr>
      </w:pPr>
      <w:r>
        <w:rPr>
          <w:rStyle w:val="a7"/>
        </w:rPr>
        <w:footnoteRef/>
      </w:r>
      <w:r w:rsidRPr="009B3B8D">
        <w:rPr>
          <w:rStyle w:val="a7"/>
          <w:sz w:val="22"/>
          <w:szCs w:val="22"/>
          <w:vertAlign w:val="baseline"/>
        </w:rPr>
        <w:t>Программа антикризисных мер Правительства Российской Федерации на 2009 год (одобрена на заседании Правительства Российской Федерации, протокол от 9 апреля 2009 г. № 11)</w:t>
      </w:r>
    </w:p>
    <w:p w:rsidR="00721596" w:rsidRDefault="00721596">
      <w:pPr>
        <w:pStyle w:val="a5"/>
      </w:pPr>
    </w:p>
  </w:footnote>
  <w:footnote w:id="5">
    <w:p w:rsidR="00721596" w:rsidRPr="00A841C9" w:rsidRDefault="00721596" w:rsidP="0022489F">
      <w:pPr>
        <w:pStyle w:val="a5"/>
      </w:pPr>
      <w:r>
        <w:rPr>
          <w:rStyle w:val="a7"/>
        </w:rPr>
        <w:footnoteRef/>
      </w:r>
      <w:r w:rsidRPr="00E30F5A">
        <w:rPr>
          <w:sz w:val="22"/>
          <w:szCs w:val="22"/>
        </w:rPr>
        <w:t xml:space="preserve">Федеральный закон от 30 сентября 2010 г. </w:t>
      </w:r>
      <w:r>
        <w:rPr>
          <w:sz w:val="22"/>
          <w:szCs w:val="22"/>
        </w:rPr>
        <w:t>№</w:t>
      </w:r>
      <w:r w:rsidRPr="00E30F5A">
        <w:rPr>
          <w:sz w:val="22"/>
          <w:szCs w:val="22"/>
        </w:rPr>
        <w:t xml:space="preserve"> 245-ФЗ (ред. от 25 декабря 2012 г.) «О Внесении изменений в Бюджетный кодекс Российской Федерации и иные законодательные акты Российской Федерации»</w:t>
      </w:r>
    </w:p>
  </w:footnote>
  <w:footnote w:id="6">
    <w:p w:rsidR="00721596" w:rsidRDefault="00721596" w:rsidP="008A7369">
      <w:pPr>
        <w:pStyle w:val="a5"/>
      </w:pPr>
      <w:r>
        <w:rPr>
          <w:rStyle w:val="a7"/>
        </w:rPr>
        <w:footnoteRef/>
      </w:r>
      <w:r>
        <w:t xml:space="preserve"> Данные на основании Федеральных законов об исполнении федерального бюджета Российской Федерации в период 2004-2008 гг.</w:t>
      </w:r>
    </w:p>
  </w:footnote>
  <w:footnote w:id="7">
    <w:p w:rsidR="00721596" w:rsidRDefault="00721596" w:rsidP="008A7369">
      <w:pPr>
        <w:pStyle w:val="a5"/>
      </w:pPr>
      <w:r>
        <w:rPr>
          <w:rStyle w:val="a7"/>
        </w:rPr>
        <w:footnoteRef/>
      </w:r>
      <w:r>
        <w:t xml:space="preserve"> Протокол</w:t>
      </w:r>
      <w:r w:rsidRPr="00987669">
        <w:rPr>
          <w:rFonts w:eastAsia="Calibri"/>
        </w:rPr>
        <w:t xml:space="preserve"> № 02</w:t>
      </w:r>
      <w:r>
        <w:t xml:space="preserve"> заседания Общественного совета </w:t>
      </w:r>
      <w:r w:rsidRPr="00987669">
        <w:rPr>
          <w:rFonts w:eastAsia="Calibri"/>
        </w:rPr>
        <w:t>при Министерстве финансов Российской Федерации</w:t>
      </w:r>
      <w:r>
        <w:t>, 22.02.2012.</w:t>
      </w:r>
    </w:p>
  </w:footnote>
  <w:footnote w:id="8">
    <w:p w:rsidR="00721596" w:rsidRPr="00CE4287" w:rsidRDefault="00721596" w:rsidP="008A7369">
      <w:pPr>
        <w:rPr>
          <w:sz w:val="20"/>
          <w:szCs w:val="20"/>
        </w:rPr>
      </w:pPr>
      <w:r>
        <w:rPr>
          <w:rStyle w:val="a7"/>
        </w:rPr>
        <w:footnoteRef/>
      </w:r>
      <w:r>
        <w:rPr>
          <w:sz w:val="20"/>
          <w:szCs w:val="20"/>
        </w:rPr>
        <w:t>Там же.</w:t>
      </w:r>
    </w:p>
  </w:footnote>
  <w:footnote w:id="9">
    <w:p w:rsidR="00721596" w:rsidRDefault="00721596">
      <w:pPr>
        <w:pStyle w:val="a5"/>
      </w:pPr>
      <w:r>
        <w:rPr>
          <w:rStyle w:val="a7"/>
        </w:rPr>
        <w:footnoteRef/>
      </w:r>
      <w:r>
        <w:t xml:space="preserve"> По данным, представленным на официальных сайтах Минфина России и Федеральной службы государственной статистики.</w:t>
      </w:r>
    </w:p>
  </w:footnote>
  <w:footnote w:id="10">
    <w:p w:rsidR="00721596" w:rsidRPr="00444BCE" w:rsidRDefault="00721596">
      <w:pPr>
        <w:pStyle w:val="a5"/>
      </w:pPr>
      <w:r>
        <w:rPr>
          <w:rStyle w:val="a7"/>
        </w:rPr>
        <w:footnoteRef/>
      </w:r>
      <w:bookmarkStart w:id="19" w:name="_GoBack"/>
      <w:bookmarkEnd w:id="19"/>
      <w:r>
        <w:t>Ра</w:t>
      </w:r>
      <w:r w:rsidRPr="00444BCE">
        <w:t>споряжение Правительства Российской Федерации от 4.03.2013 г. № 293-р «Об утверждении государственной программы Российской Федерации «Управление государственными финансами</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2251"/>
      <w:docPartObj>
        <w:docPartGallery w:val="Page Numbers (Top of Page)"/>
        <w:docPartUnique/>
      </w:docPartObj>
    </w:sdtPr>
    <w:sdtContent>
      <w:p w:rsidR="00721596" w:rsidRDefault="00023108">
        <w:pPr>
          <w:pStyle w:val="aa"/>
          <w:jc w:val="center"/>
        </w:pPr>
        <w:fldSimple w:instr=" PAGE   \* MERGEFORMAT ">
          <w:r w:rsidR="00D55626">
            <w:rPr>
              <w:noProof/>
            </w:rPr>
            <w:t>6</w:t>
          </w:r>
        </w:fldSimple>
      </w:p>
    </w:sdtContent>
  </w:sdt>
  <w:p w:rsidR="00721596" w:rsidRDefault="0072159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178"/>
    <w:multiLevelType w:val="hybridMultilevel"/>
    <w:tmpl w:val="22E2AF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75145E"/>
    <w:multiLevelType w:val="hybridMultilevel"/>
    <w:tmpl w:val="3946C5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1AA04F7"/>
    <w:multiLevelType w:val="hybridMultilevel"/>
    <w:tmpl w:val="08A6200A"/>
    <w:lvl w:ilvl="0" w:tplc="424A6A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BF1244"/>
    <w:multiLevelType w:val="hybridMultilevel"/>
    <w:tmpl w:val="EBD26ED8"/>
    <w:lvl w:ilvl="0" w:tplc="91D2C4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A090B5A"/>
    <w:multiLevelType w:val="hybridMultilevel"/>
    <w:tmpl w:val="7162249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nsid w:val="1C791443"/>
    <w:multiLevelType w:val="hybridMultilevel"/>
    <w:tmpl w:val="81BEFA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CC5C19"/>
    <w:multiLevelType w:val="hybridMultilevel"/>
    <w:tmpl w:val="07E8BE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5805A27"/>
    <w:multiLevelType w:val="hybridMultilevel"/>
    <w:tmpl w:val="81CE43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260720C3"/>
    <w:multiLevelType w:val="hybridMultilevel"/>
    <w:tmpl w:val="08A6200A"/>
    <w:lvl w:ilvl="0" w:tplc="424A6A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85509DB"/>
    <w:multiLevelType w:val="hybridMultilevel"/>
    <w:tmpl w:val="A8F6933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1E857EF"/>
    <w:multiLevelType w:val="hybridMultilevel"/>
    <w:tmpl w:val="734E0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D85040"/>
    <w:multiLevelType w:val="hybridMultilevel"/>
    <w:tmpl w:val="08A6200A"/>
    <w:lvl w:ilvl="0" w:tplc="424A6A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22D45C3"/>
    <w:multiLevelType w:val="hybridMultilevel"/>
    <w:tmpl w:val="16345088"/>
    <w:lvl w:ilvl="0" w:tplc="F6D4B3F8">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903096"/>
    <w:multiLevelType w:val="hybridMultilevel"/>
    <w:tmpl w:val="66C871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0AC5945"/>
    <w:multiLevelType w:val="hybridMultilevel"/>
    <w:tmpl w:val="D30E43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74C759D5"/>
    <w:multiLevelType w:val="hybridMultilevel"/>
    <w:tmpl w:val="2C7CFA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AEE53A3"/>
    <w:multiLevelType w:val="hybridMultilevel"/>
    <w:tmpl w:val="D4FC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4"/>
  </w:num>
  <w:num w:numId="5">
    <w:abstractNumId w:val="3"/>
  </w:num>
  <w:num w:numId="6">
    <w:abstractNumId w:val="12"/>
  </w:num>
  <w:num w:numId="7">
    <w:abstractNumId w:val="7"/>
  </w:num>
  <w:num w:numId="8">
    <w:abstractNumId w:val="16"/>
  </w:num>
  <w:num w:numId="9">
    <w:abstractNumId w:val="15"/>
  </w:num>
  <w:num w:numId="10">
    <w:abstractNumId w:val="13"/>
  </w:num>
  <w:num w:numId="11">
    <w:abstractNumId w:val="14"/>
  </w:num>
  <w:num w:numId="12">
    <w:abstractNumId w:val="1"/>
  </w:num>
  <w:num w:numId="13">
    <w:abstractNumId w:val="6"/>
  </w:num>
  <w:num w:numId="14">
    <w:abstractNumId w:val="9"/>
  </w:num>
  <w:num w:numId="15">
    <w:abstractNumId w:val="5"/>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61B50"/>
    <w:rsid w:val="00001625"/>
    <w:rsid w:val="000040D9"/>
    <w:rsid w:val="00021E83"/>
    <w:rsid w:val="00023108"/>
    <w:rsid w:val="000332D8"/>
    <w:rsid w:val="0004073F"/>
    <w:rsid w:val="00041667"/>
    <w:rsid w:val="00042D19"/>
    <w:rsid w:val="00054E95"/>
    <w:rsid w:val="00076A9C"/>
    <w:rsid w:val="000805EC"/>
    <w:rsid w:val="0008149B"/>
    <w:rsid w:val="00086543"/>
    <w:rsid w:val="00093DD0"/>
    <w:rsid w:val="00097E9E"/>
    <w:rsid w:val="000A42D3"/>
    <w:rsid w:val="000A4B3F"/>
    <w:rsid w:val="000B3130"/>
    <w:rsid w:val="000C15F3"/>
    <w:rsid w:val="000C1F58"/>
    <w:rsid w:val="000C2A06"/>
    <w:rsid w:val="000D7BBE"/>
    <w:rsid w:val="000E374C"/>
    <w:rsid w:val="000E400B"/>
    <w:rsid w:val="000E6E86"/>
    <w:rsid w:val="000F116B"/>
    <w:rsid w:val="000F77AE"/>
    <w:rsid w:val="00113BE8"/>
    <w:rsid w:val="00121B5C"/>
    <w:rsid w:val="00121EF7"/>
    <w:rsid w:val="0012284D"/>
    <w:rsid w:val="00122FA5"/>
    <w:rsid w:val="00124356"/>
    <w:rsid w:val="00126334"/>
    <w:rsid w:val="00126E2F"/>
    <w:rsid w:val="00133A72"/>
    <w:rsid w:val="0013521F"/>
    <w:rsid w:val="00146484"/>
    <w:rsid w:val="00147070"/>
    <w:rsid w:val="00157D84"/>
    <w:rsid w:val="0016271B"/>
    <w:rsid w:val="0016729D"/>
    <w:rsid w:val="00175439"/>
    <w:rsid w:val="00176B5D"/>
    <w:rsid w:val="00187A39"/>
    <w:rsid w:val="00193D2E"/>
    <w:rsid w:val="001A114C"/>
    <w:rsid w:val="001A1823"/>
    <w:rsid w:val="001C0D0C"/>
    <w:rsid w:val="001D3F69"/>
    <w:rsid w:val="001D70F1"/>
    <w:rsid w:val="001E191F"/>
    <w:rsid w:val="001E4718"/>
    <w:rsid w:val="002001C2"/>
    <w:rsid w:val="00201546"/>
    <w:rsid w:val="002101D7"/>
    <w:rsid w:val="00222D70"/>
    <w:rsid w:val="0022489F"/>
    <w:rsid w:val="0023237E"/>
    <w:rsid w:val="002324F4"/>
    <w:rsid w:val="00236A7B"/>
    <w:rsid w:val="002403B2"/>
    <w:rsid w:val="00240F16"/>
    <w:rsid w:val="00242EAE"/>
    <w:rsid w:val="00243A3A"/>
    <w:rsid w:val="00252532"/>
    <w:rsid w:val="00253672"/>
    <w:rsid w:val="00255681"/>
    <w:rsid w:val="00256873"/>
    <w:rsid w:val="002654BF"/>
    <w:rsid w:val="00282F16"/>
    <w:rsid w:val="00285D4D"/>
    <w:rsid w:val="00295EB0"/>
    <w:rsid w:val="002A0988"/>
    <w:rsid w:val="002A4053"/>
    <w:rsid w:val="002B1E61"/>
    <w:rsid w:val="002B5575"/>
    <w:rsid w:val="002D4E07"/>
    <w:rsid w:val="002E05E2"/>
    <w:rsid w:val="002E5D13"/>
    <w:rsid w:val="002E7352"/>
    <w:rsid w:val="002E7F24"/>
    <w:rsid w:val="002F0397"/>
    <w:rsid w:val="002F13D4"/>
    <w:rsid w:val="002F4055"/>
    <w:rsid w:val="00300A0C"/>
    <w:rsid w:val="00300AA1"/>
    <w:rsid w:val="0030547D"/>
    <w:rsid w:val="00332984"/>
    <w:rsid w:val="00332CF7"/>
    <w:rsid w:val="00333D57"/>
    <w:rsid w:val="00333E1F"/>
    <w:rsid w:val="00333F2C"/>
    <w:rsid w:val="00345D54"/>
    <w:rsid w:val="003568F8"/>
    <w:rsid w:val="00365D61"/>
    <w:rsid w:val="00372FBC"/>
    <w:rsid w:val="003837E4"/>
    <w:rsid w:val="00383BF3"/>
    <w:rsid w:val="00384B96"/>
    <w:rsid w:val="00390701"/>
    <w:rsid w:val="00393CD0"/>
    <w:rsid w:val="003971DF"/>
    <w:rsid w:val="003A1313"/>
    <w:rsid w:val="003A3ABA"/>
    <w:rsid w:val="003C1C70"/>
    <w:rsid w:val="003E504A"/>
    <w:rsid w:val="003E6CCD"/>
    <w:rsid w:val="00400D5A"/>
    <w:rsid w:val="0040505B"/>
    <w:rsid w:val="00405732"/>
    <w:rsid w:val="004057F5"/>
    <w:rsid w:val="00410C51"/>
    <w:rsid w:val="00412302"/>
    <w:rsid w:val="004217B4"/>
    <w:rsid w:val="004260AC"/>
    <w:rsid w:val="004271B9"/>
    <w:rsid w:val="00433AF1"/>
    <w:rsid w:val="0043487D"/>
    <w:rsid w:val="00434AD3"/>
    <w:rsid w:val="00436A54"/>
    <w:rsid w:val="00442C2A"/>
    <w:rsid w:val="00443866"/>
    <w:rsid w:val="004438E4"/>
    <w:rsid w:val="00444BCE"/>
    <w:rsid w:val="00451BE4"/>
    <w:rsid w:val="004527F8"/>
    <w:rsid w:val="00456005"/>
    <w:rsid w:val="0046403C"/>
    <w:rsid w:val="00465CBB"/>
    <w:rsid w:val="00465CC6"/>
    <w:rsid w:val="0047209F"/>
    <w:rsid w:val="00481ABF"/>
    <w:rsid w:val="00481AC4"/>
    <w:rsid w:val="00484FC4"/>
    <w:rsid w:val="004868D8"/>
    <w:rsid w:val="004911E2"/>
    <w:rsid w:val="004A2642"/>
    <w:rsid w:val="004B07E7"/>
    <w:rsid w:val="004B33F6"/>
    <w:rsid w:val="004B427E"/>
    <w:rsid w:val="004D2E55"/>
    <w:rsid w:val="004D3342"/>
    <w:rsid w:val="004E1758"/>
    <w:rsid w:val="004E6E96"/>
    <w:rsid w:val="004F701F"/>
    <w:rsid w:val="0050519D"/>
    <w:rsid w:val="00507FEF"/>
    <w:rsid w:val="00510340"/>
    <w:rsid w:val="00511337"/>
    <w:rsid w:val="0051540B"/>
    <w:rsid w:val="00520D94"/>
    <w:rsid w:val="00534D0F"/>
    <w:rsid w:val="005521AD"/>
    <w:rsid w:val="00552BC1"/>
    <w:rsid w:val="00567768"/>
    <w:rsid w:val="0057390B"/>
    <w:rsid w:val="00573E15"/>
    <w:rsid w:val="00593745"/>
    <w:rsid w:val="00596998"/>
    <w:rsid w:val="005B35F2"/>
    <w:rsid w:val="005B4559"/>
    <w:rsid w:val="005B4DDA"/>
    <w:rsid w:val="005B50DA"/>
    <w:rsid w:val="005B52CE"/>
    <w:rsid w:val="005B59D1"/>
    <w:rsid w:val="005C7D16"/>
    <w:rsid w:val="005D1FB2"/>
    <w:rsid w:val="005D56CB"/>
    <w:rsid w:val="005D5789"/>
    <w:rsid w:val="005E2899"/>
    <w:rsid w:val="005F2822"/>
    <w:rsid w:val="005F32C1"/>
    <w:rsid w:val="005F5600"/>
    <w:rsid w:val="005F6A0D"/>
    <w:rsid w:val="00602AEB"/>
    <w:rsid w:val="00605E0C"/>
    <w:rsid w:val="006105C4"/>
    <w:rsid w:val="00621549"/>
    <w:rsid w:val="006244C0"/>
    <w:rsid w:val="00632E8D"/>
    <w:rsid w:val="00644514"/>
    <w:rsid w:val="00644E68"/>
    <w:rsid w:val="00645D65"/>
    <w:rsid w:val="00650A3D"/>
    <w:rsid w:val="00652223"/>
    <w:rsid w:val="00652825"/>
    <w:rsid w:val="00662BC8"/>
    <w:rsid w:val="0066661A"/>
    <w:rsid w:val="006822D9"/>
    <w:rsid w:val="006829B9"/>
    <w:rsid w:val="00682AD8"/>
    <w:rsid w:val="00682CD6"/>
    <w:rsid w:val="00696016"/>
    <w:rsid w:val="006964EE"/>
    <w:rsid w:val="006A0FC5"/>
    <w:rsid w:val="006A130D"/>
    <w:rsid w:val="006A3264"/>
    <w:rsid w:val="006A709F"/>
    <w:rsid w:val="006A790B"/>
    <w:rsid w:val="006B13B0"/>
    <w:rsid w:val="006B3036"/>
    <w:rsid w:val="006B3191"/>
    <w:rsid w:val="006B3E93"/>
    <w:rsid w:val="006B45BB"/>
    <w:rsid w:val="006B4612"/>
    <w:rsid w:val="006C358C"/>
    <w:rsid w:val="006C4270"/>
    <w:rsid w:val="006C5EEB"/>
    <w:rsid w:val="006D3037"/>
    <w:rsid w:val="006D4081"/>
    <w:rsid w:val="006D58A5"/>
    <w:rsid w:val="006D7FDF"/>
    <w:rsid w:val="006E0520"/>
    <w:rsid w:val="006E6CE1"/>
    <w:rsid w:val="006F0271"/>
    <w:rsid w:val="006F20C0"/>
    <w:rsid w:val="006F579C"/>
    <w:rsid w:val="00707363"/>
    <w:rsid w:val="00710FBC"/>
    <w:rsid w:val="00713C2D"/>
    <w:rsid w:val="00714B4D"/>
    <w:rsid w:val="007156DB"/>
    <w:rsid w:val="00721596"/>
    <w:rsid w:val="00730510"/>
    <w:rsid w:val="00734973"/>
    <w:rsid w:val="00745CA9"/>
    <w:rsid w:val="007462C9"/>
    <w:rsid w:val="0075045C"/>
    <w:rsid w:val="00753865"/>
    <w:rsid w:val="007669D8"/>
    <w:rsid w:val="00790D42"/>
    <w:rsid w:val="007956D3"/>
    <w:rsid w:val="007A1B5D"/>
    <w:rsid w:val="007A1C6E"/>
    <w:rsid w:val="007A28F5"/>
    <w:rsid w:val="007A58E3"/>
    <w:rsid w:val="007A77D2"/>
    <w:rsid w:val="007B31A1"/>
    <w:rsid w:val="007B787E"/>
    <w:rsid w:val="007C2A59"/>
    <w:rsid w:val="007C31BC"/>
    <w:rsid w:val="007D06D3"/>
    <w:rsid w:val="007E6627"/>
    <w:rsid w:val="00810C3B"/>
    <w:rsid w:val="00827F7E"/>
    <w:rsid w:val="008365E5"/>
    <w:rsid w:val="00836FE5"/>
    <w:rsid w:val="00845741"/>
    <w:rsid w:val="008467F0"/>
    <w:rsid w:val="00857C97"/>
    <w:rsid w:val="00860559"/>
    <w:rsid w:val="00860F40"/>
    <w:rsid w:val="008757C0"/>
    <w:rsid w:val="008829C3"/>
    <w:rsid w:val="00885DDA"/>
    <w:rsid w:val="00890597"/>
    <w:rsid w:val="00891C1D"/>
    <w:rsid w:val="0089363B"/>
    <w:rsid w:val="008A7369"/>
    <w:rsid w:val="008B1D79"/>
    <w:rsid w:val="008B2CF2"/>
    <w:rsid w:val="008B4EA6"/>
    <w:rsid w:val="008B5986"/>
    <w:rsid w:val="008D1E89"/>
    <w:rsid w:val="008D220F"/>
    <w:rsid w:val="008E2D53"/>
    <w:rsid w:val="008E317A"/>
    <w:rsid w:val="008F1571"/>
    <w:rsid w:val="008F576D"/>
    <w:rsid w:val="008F60D6"/>
    <w:rsid w:val="008F66F7"/>
    <w:rsid w:val="00900371"/>
    <w:rsid w:val="0090650A"/>
    <w:rsid w:val="00907BB5"/>
    <w:rsid w:val="009175EF"/>
    <w:rsid w:val="009251DC"/>
    <w:rsid w:val="00927478"/>
    <w:rsid w:val="009315F3"/>
    <w:rsid w:val="0093789D"/>
    <w:rsid w:val="009444E1"/>
    <w:rsid w:val="00961967"/>
    <w:rsid w:val="00962186"/>
    <w:rsid w:val="00966245"/>
    <w:rsid w:val="009743D6"/>
    <w:rsid w:val="0098119B"/>
    <w:rsid w:val="009817FB"/>
    <w:rsid w:val="00982E4A"/>
    <w:rsid w:val="00982F47"/>
    <w:rsid w:val="00985D29"/>
    <w:rsid w:val="00986615"/>
    <w:rsid w:val="00990231"/>
    <w:rsid w:val="009960EC"/>
    <w:rsid w:val="009A11AC"/>
    <w:rsid w:val="009B3B8D"/>
    <w:rsid w:val="009B6B7B"/>
    <w:rsid w:val="009C2434"/>
    <w:rsid w:val="009C2687"/>
    <w:rsid w:val="009D16EA"/>
    <w:rsid w:val="009D49E2"/>
    <w:rsid w:val="009D4D69"/>
    <w:rsid w:val="009D57F3"/>
    <w:rsid w:val="009E06D4"/>
    <w:rsid w:val="009E10DC"/>
    <w:rsid w:val="009E5D2F"/>
    <w:rsid w:val="009E66D0"/>
    <w:rsid w:val="009F1110"/>
    <w:rsid w:val="00A11003"/>
    <w:rsid w:val="00A17F0E"/>
    <w:rsid w:val="00A31CCC"/>
    <w:rsid w:val="00A41745"/>
    <w:rsid w:val="00A47348"/>
    <w:rsid w:val="00A60001"/>
    <w:rsid w:val="00A60B1D"/>
    <w:rsid w:val="00A72201"/>
    <w:rsid w:val="00A730D3"/>
    <w:rsid w:val="00A76875"/>
    <w:rsid w:val="00A868F2"/>
    <w:rsid w:val="00A94D73"/>
    <w:rsid w:val="00AA2164"/>
    <w:rsid w:val="00AA5429"/>
    <w:rsid w:val="00AA562D"/>
    <w:rsid w:val="00AB5428"/>
    <w:rsid w:val="00AC538D"/>
    <w:rsid w:val="00AD0E08"/>
    <w:rsid w:val="00AD2FA4"/>
    <w:rsid w:val="00AD6D42"/>
    <w:rsid w:val="00AD6E12"/>
    <w:rsid w:val="00AD79D2"/>
    <w:rsid w:val="00AE0295"/>
    <w:rsid w:val="00AF3867"/>
    <w:rsid w:val="00B00D8A"/>
    <w:rsid w:val="00B116CE"/>
    <w:rsid w:val="00B14080"/>
    <w:rsid w:val="00B203C8"/>
    <w:rsid w:val="00B307F1"/>
    <w:rsid w:val="00B370BE"/>
    <w:rsid w:val="00B45B17"/>
    <w:rsid w:val="00B61643"/>
    <w:rsid w:val="00B624E2"/>
    <w:rsid w:val="00B67EF0"/>
    <w:rsid w:val="00B74887"/>
    <w:rsid w:val="00B75656"/>
    <w:rsid w:val="00B75F4A"/>
    <w:rsid w:val="00B7681F"/>
    <w:rsid w:val="00B839F5"/>
    <w:rsid w:val="00BB3BD5"/>
    <w:rsid w:val="00BB69E3"/>
    <w:rsid w:val="00BB73FF"/>
    <w:rsid w:val="00BC1B2C"/>
    <w:rsid w:val="00BD70AF"/>
    <w:rsid w:val="00BD7733"/>
    <w:rsid w:val="00BE2B96"/>
    <w:rsid w:val="00BE564F"/>
    <w:rsid w:val="00BE5D69"/>
    <w:rsid w:val="00BE659A"/>
    <w:rsid w:val="00BE7D8B"/>
    <w:rsid w:val="00BF4043"/>
    <w:rsid w:val="00C115EF"/>
    <w:rsid w:val="00C34274"/>
    <w:rsid w:val="00C513CE"/>
    <w:rsid w:val="00C56F55"/>
    <w:rsid w:val="00C62E37"/>
    <w:rsid w:val="00C73BBB"/>
    <w:rsid w:val="00C73E34"/>
    <w:rsid w:val="00C811EB"/>
    <w:rsid w:val="00C95D2D"/>
    <w:rsid w:val="00CA6435"/>
    <w:rsid w:val="00CA67E2"/>
    <w:rsid w:val="00CB2330"/>
    <w:rsid w:val="00CB30B4"/>
    <w:rsid w:val="00CB33C9"/>
    <w:rsid w:val="00CB672A"/>
    <w:rsid w:val="00CB7C64"/>
    <w:rsid w:val="00CC173B"/>
    <w:rsid w:val="00CD0264"/>
    <w:rsid w:val="00CD154C"/>
    <w:rsid w:val="00CD18B4"/>
    <w:rsid w:val="00CD34EC"/>
    <w:rsid w:val="00CE3141"/>
    <w:rsid w:val="00CE6C42"/>
    <w:rsid w:val="00CF1EA1"/>
    <w:rsid w:val="00CF247D"/>
    <w:rsid w:val="00CF33EE"/>
    <w:rsid w:val="00CF4388"/>
    <w:rsid w:val="00D011DB"/>
    <w:rsid w:val="00D105EC"/>
    <w:rsid w:val="00D105F3"/>
    <w:rsid w:val="00D12F35"/>
    <w:rsid w:val="00D216F1"/>
    <w:rsid w:val="00D3464C"/>
    <w:rsid w:val="00D430CA"/>
    <w:rsid w:val="00D446CE"/>
    <w:rsid w:val="00D53C1F"/>
    <w:rsid w:val="00D55626"/>
    <w:rsid w:val="00D60A0E"/>
    <w:rsid w:val="00D74F59"/>
    <w:rsid w:val="00D76C4D"/>
    <w:rsid w:val="00D77A6B"/>
    <w:rsid w:val="00D8432E"/>
    <w:rsid w:val="00D92F06"/>
    <w:rsid w:val="00DA5591"/>
    <w:rsid w:val="00DA6EDB"/>
    <w:rsid w:val="00DB417E"/>
    <w:rsid w:val="00DB5FA1"/>
    <w:rsid w:val="00DB625A"/>
    <w:rsid w:val="00DD689B"/>
    <w:rsid w:val="00E012DD"/>
    <w:rsid w:val="00E041B8"/>
    <w:rsid w:val="00E16D69"/>
    <w:rsid w:val="00E16DD4"/>
    <w:rsid w:val="00E30F5A"/>
    <w:rsid w:val="00E42F04"/>
    <w:rsid w:val="00E46192"/>
    <w:rsid w:val="00E50CFF"/>
    <w:rsid w:val="00E56EDC"/>
    <w:rsid w:val="00E56FB4"/>
    <w:rsid w:val="00E572EE"/>
    <w:rsid w:val="00E61B50"/>
    <w:rsid w:val="00E64815"/>
    <w:rsid w:val="00E65283"/>
    <w:rsid w:val="00E71ABE"/>
    <w:rsid w:val="00E74274"/>
    <w:rsid w:val="00E84D33"/>
    <w:rsid w:val="00E937EE"/>
    <w:rsid w:val="00EA703E"/>
    <w:rsid w:val="00EB2CC2"/>
    <w:rsid w:val="00EB76C9"/>
    <w:rsid w:val="00ED029D"/>
    <w:rsid w:val="00ED709C"/>
    <w:rsid w:val="00EE709C"/>
    <w:rsid w:val="00EF3933"/>
    <w:rsid w:val="00F01633"/>
    <w:rsid w:val="00F0652F"/>
    <w:rsid w:val="00F31563"/>
    <w:rsid w:val="00F326AE"/>
    <w:rsid w:val="00F35CEE"/>
    <w:rsid w:val="00F52FAD"/>
    <w:rsid w:val="00F5616B"/>
    <w:rsid w:val="00F750D1"/>
    <w:rsid w:val="00F80971"/>
    <w:rsid w:val="00F93EF1"/>
    <w:rsid w:val="00FA47E2"/>
    <w:rsid w:val="00FA7275"/>
    <w:rsid w:val="00FB1FBD"/>
    <w:rsid w:val="00FB25CE"/>
    <w:rsid w:val="00FC1D69"/>
    <w:rsid w:val="00FE0A59"/>
    <w:rsid w:val="00FE39FE"/>
    <w:rsid w:val="00FE58C0"/>
    <w:rsid w:val="00FF01F7"/>
    <w:rsid w:val="00FF5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colormenu v:ext="edit" strokecolor="none [1940]"/>
    </o:shapedefaults>
    <o:shapelayout v:ext="edit">
      <o:idmap v:ext="edit" data="1"/>
      <o:rules v:ext="edit">
        <o:r id="V:Rule7" type="connector" idref="#_x0000_s1056"/>
        <o:r id="V:Rule8" type="connector" idref="#_x0000_s1055"/>
        <o:r id="V:Rule9" type="connector" idref="#_x0000_s1054"/>
        <o:r id="V:Rule10" type="connector" idref="#_x0000_s1053"/>
        <o:r id="V:Rule11" type="connector" idref="#_x0000_s1052"/>
        <o:r id="V:Rule1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E7"/>
  </w:style>
  <w:style w:type="paragraph" w:styleId="1">
    <w:name w:val="heading 1"/>
    <w:basedOn w:val="a"/>
    <w:next w:val="a"/>
    <w:link w:val="10"/>
    <w:autoRedefine/>
    <w:uiPriority w:val="9"/>
    <w:qFormat/>
    <w:rsid w:val="00AD79D2"/>
    <w:pPr>
      <w:keepNext/>
      <w:keepLines/>
      <w:tabs>
        <w:tab w:val="left" w:pos="1890"/>
        <w:tab w:val="center" w:pos="4535"/>
      </w:tabs>
      <w:spacing w:before="100" w:beforeAutospacing="1" w:after="100" w:afterAutospacing="1"/>
      <w:jc w:val="center"/>
      <w:outlineLvl w:val="0"/>
    </w:pPr>
    <w:rPr>
      <w:rFonts w:eastAsiaTheme="majorEastAsia" w:cstheme="majorBidi"/>
      <w:b/>
      <w:bCs/>
      <w:sz w:val="32"/>
      <w:szCs w:val="32"/>
    </w:rPr>
  </w:style>
  <w:style w:type="paragraph" w:styleId="2">
    <w:name w:val="heading 2"/>
    <w:basedOn w:val="a"/>
    <w:next w:val="a"/>
    <w:link w:val="20"/>
    <w:autoRedefine/>
    <w:uiPriority w:val="9"/>
    <w:unhideWhenUsed/>
    <w:qFormat/>
    <w:rsid w:val="00AD79D2"/>
    <w:pPr>
      <w:keepNext/>
      <w:keepLines/>
      <w:spacing w:before="240" w:after="120" w:line="360" w:lineRule="auto"/>
      <w:jc w:val="center"/>
      <w:outlineLvl w:val="1"/>
    </w:pPr>
    <w:rPr>
      <w:rFonts w:eastAsiaTheme="majorEastAsia" w:cstheme="majorBidi"/>
      <w:b/>
      <w:bCs/>
      <w:sz w:val="28"/>
      <w:szCs w:val="28"/>
    </w:rPr>
  </w:style>
  <w:style w:type="paragraph" w:styleId="3">
    <w:name w:val="heading 3"/>
    <w:basedOn w:val="a"/>
    <w:next w:val="a"/>
    <w:link w:val="30"/>
    <w:uiPriority w:val="9"/>
    <w:semiHidden/>
    <w:unhideWhenUsed/>
    <w:qFormat/>
    <w:rsid w:val="00753865"/>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2F039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93EF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ферат"/>
    <w:basedOn w:val="a4"/>
    <w:autoRedefine/>
    <w:qFormat/>
    <w:rsid w:val="00256873"/>
    <w:pPr>
      <w:spacing w:line="360" w:lineRule="auto"/>
      <w:ind w:firstLine="964"/>
      <w:jc w:val="both"/>
    </w:pPr>
  </w:style>
  <w:style w:type="paragraph" w:styleId="a4">
    <w:name w:val="No Spacing"/>
    <w:uiPriority w:val="1"/>
    <w:qFormat/>
    <w:rsid w:val="00593745"/>
    <w:pPr>
      <w:spacing w:after="0" w:line="240" w:lineRule="auto"/>
    </w:pPr>
  </w:style>
  <w:style w:type="paragraph" w:customStyle="1" w:styleId="21">
    <w:name w:val="Стиль2"/>
    <w:basedOn w:val="3"/>
    <w:qFormat/>
    <w:rsid w:val="00753865"/>
    <w:pPr>
      <w:keepLines w:val="0"/>
      <w:tabs>
        <w:tab w:val="left" w:pos="7923"/>
      </w:tabs>
      <w:spacing w:before="240" w:after="60" w:line="360" w:lineRule="auto"/>
      <w:ind w:firstLine="1080"/>
      <w:jc w:val="both"/>
    </w:pPr>
    <w:rPr>
      <w:rFonts w:ascii="Cambria" w:eastAsia="Times New Roman" w:hAnsi="Cambria" w:cs="Times New Roman"/>
      <w:color w:val="auto"/>
      <w:sz w:val="26"/>
      <w:szCs w:val="26"/>
      <w:lang w:eastAsia="ru-RU"/>
    </w:rPr>
  </w:style>
  <w:style w:type="character" w:customStyle="1" w:styleId="30">
    <w:name w:val="Заголовок 3 Знак"/>
    <w:basedOn w:val="a0"/>
    <w:link w:val="3"/>
    <w:uiPriority w:val="9"/>
    <w:semiHidden/>
    <w:rsid w:val="00753865"/>
    <w:rPr>
      <w:rFonts w:asciiTheme="majorHAnsi" w:eastAsiaTheme="majorEastAsia" w:hAnsiTheme="majorHAnsi" w:cstheme="majorBidi"/>
      <w:b/>
      <w:bCs/>
      <w:color w:val="4F81BD" w:themeColor="accent1"/>
    </w:rPr>
  </w:style>
  <w:style w:type="paragraph" w:styleId="a5">
    <w:name w:val="footnote text"/>
    <w:basedOn w:val="a"/>
    <w:link w:val="a6"/>
    <w:uiPriority w:val="99"/>
    <w:semiHidden/>
    <w:unhideWhenUsed/>
    <w:rsid w:val="00C62E37"/>
    <w:pPr>
      <w:spacing w:after="0" w:line="240" w:lineRule="auto"/>
    </w:pPr>
    <w:rPr>
      <w:sz w:val="20"/>
      <w:szCs w:val="20"/>
    </w:rPr>
  </w:style>
  <w:style w:type="character" w:customStyle="1" w:styleId="a6">
    <w:name w:val="Текст сноски Знак"/>
    <w:basedOn w:val="a0"/>
    <w:link w:val="a5"/>
    <w:uiPriority w:val="99"/>
    <w:semiHidden/>
    <w:rsid w:val="00C62E37"/>
    <w:rPr>
      <w:sz w:val="20"/>
      <w:szCs w:val="20"/>
    </w:rPr>
  </w:style>
  <w:style w:type="character" w:styleId="a7">
    <w:name w:val="footnote reference"/>
    <w:basedOn w:val="a0"/>
    <w:uiPriority w:val="99"/>
    <w:semiHidden/>
    <w:unhideWhenUsed/>
    <w:rsid w:val="00C62E37"/>
    <w:rPr>
      <w:vertAlign w:val="superscript"/>
    </w:rPr>
  </w:style>
  <w:style w:type="paragraph" w:customStyle="1" w:styleId="Default">
    <w:name w:val="Default"/>
    <w:rsid w:val="00113BE8"/>
    <w:pPr>
      <w:autoSpaceDE w:val="0"/>
      <w:autoSpaceDN w:val="0"/>
      <w:adjustRightInd w:val="0"/>
      <w:spacing w:after="0" w:line="240" w:lineRule="auto"/>
    </w:pPr>
    <w:rPr>
      <w:rFonts w:ascii="Code" w:hAnsi="Code" w:cs="Code"/>
      <w:color w:val="000000"/>
    </w:rPr>
  </w:style>
  <w:style w:type="paragraph" w:styleId="a8">
    <w:name w:val="List Paragraph"/>
    <w:basedOn w:val="a"/>
    <w:uiPriority w:val="34"/>
    <w:qFormat/>
    <w:rsid w:val="002324F4"/>
    <w:pPr>
      <w:ind w:left="720"/>
      <w:contextualSpacing/>
    </w:pPr>
  </w:style>
  <w:style w:type="character" w:styleId="a9">
    <w:name w:val="Hyperlink"/>
    <w:basedOn w:val="a0"/>
    <w:uiPriority w:val="99"/>
    <w:unhideWhenUsed/>
    <w:rsid w:val="00A72201"/>
    <w:rPr>
      <w:color w:val="0000FF" w:themeColor="hyperlink"/>
      <w:u w:val="single"/>
    </w:rPr>
  </w:style>
  <w:style w:type="paragraph" w:styleId="aa">
    <w:name w:val="header"/>
    <w:basedOn w:val="a"/>
    <w:link w:val="ab"/>
    <w:uiPriority w:val="99"/>
    <w:unhideWhenUsed/>
    <w:rsid w:val="00A4734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47348"/>
  </w:style>
  <w:style w:type="paragraph" w:styleId="ac">
    <w:name w:val="footer"/>
    <w:basedOn w:val="a"/>
    <w:link w:val="ad"/>
    <w:uiPriority w:val="99"/>
    <w:unhideWhenUsed/>
    <w:rsid w:val="00A4734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47348"/>
  </w:style>
  <w:style w:type="character" w:customStyle="1" w:styleId="apple-style-span">
    <w:name w:val="apple-style-span"/>
    <w:basedOn w:val="a0"/>
    <w:rsid w:val="00C513CE"/>
  </w:style>
  <w:style w:type="character" w:styleId="ae">
    <w:name w:val="Strong"/>
    <w:basedOn w:val="a0"/>
    <w:uiPriority w:val="22"/>
    <w:qFormat/>
    <w:rsid w:val="006C358C"/>
    <w:rPr>
      <w:b/>
      <w:bCs/>
    </w:rPr>
  </w:style>
  <w:style w:type="character" w:styleId="af">
    <w:name w:val="Emphasis"/>
    <w:basedOn w:val="a0"/>
    <w:uiPriority w:val="20"/>
    <w:qFormat/>
    <w:rsid w:val="006C358C"/>
    <w:rPr>
      <w:i/>
      <w:iCs/>
    </w:rPr>
  </w:style>
  <w:style w:type="character" w:customStyle="1" w:styleId="10">
    <w:name w:val="Заголовок 1 Знак"/>
    <w:basedOn w:val="a0"/>
    <w:link w:val="1"/>
    <w:uiPriority w:val="9"/>
    <w:rsid w:val="00AD79D2"/>
    <w:rPr>
      <w:rFonts w:eastAsiaTheme="majorEastAsia" w:cstheme="majorBidi"/>
      <w:b/>
      <w:bCs/>
      <w:sz w:val="32"/>
      <w:szCs w:val="32"/>
    </w:rPr>
  </w:style>
  <w:style w:type="character" w:customStyle="1" w:styleId="20">
    <w:name w:val="Заголовок 2 Знак"/>
    <w:basedOn w:val="a0"/>
    <w:link w:val="2"/>
    <w:uiPriority w:val="9"/>
    <w:rsid w:val="00AD79D2"/>
    <w:rPr>
      <w:rFonts w:eastAsiaTheme="majorEastAsia" w:cstheme="majorBidi"/>
      <w:b/>
      <w:bCs/>
      <w:sz w:val="28"/>
      <w:szCs w:val="28"/>
    </w:rPr>
  </w:style>
  <w:style w:type="paragraph" w:styleId="af0">
    <w:name w:val="Balloon Text"/>
    <w:basedOn w:val="a"/>
    <w:link w:val="af1"/>
    <w:uiPriority w:val="99"/>
    <w:semiHidden/>
    <w:unhideWhenUsed/>
    <w:rsid w:val="00E7427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74274"/>
    <w:rPr>
      <w:rFonts w:ascii="Tahoma" w:hAnsi="Tahoma" w:cs="Tahoma"/>
      <w:sz w:val="16"/>
      <w:szCs w:val="16"/>
    </w:rPr>
  </w:style>
  <w:style w:type="table" w:customStyle="1" w:styleId="-11">
    <w:name w:val="Светлая заливка - Акцент 11"/>
    <w:basedOn w:val="a1"/>
    <w:uiPriority w:val="60"/>
    <w:rsid w:val="005969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Средняя заливка 1 - Акцент 11"/>
    <w:basedOn w:val="a1"/>
    <w:uiPriority w:val="63"/>
    <w:rsid w:val="0059699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
    <w:name w:val="Light List Accent 5"/>
    <w:basedOn w:val="a1"/>
    <w:uiPriority w:val="61"/>
    <w:rsid w:val="0059699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10">
    <w:name w:val="Светлая сетка - Акцент 11"/>
    <w:basedOn w:val="a1"/>
    <w:uiPriority w:val="62"/>
    <w:rsid w:val="0059699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2">
    <w:name w:val="Table Grid"/>
    <w:basedOn w:val="a1"/>
    <w:uiPriority w:val="59"/>
    <w:rsid w:val="005F28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редняя заливка 1 - Акцент 12"/>
    <w:basedOn w:val="a1"/>
    <w:uiPriority w:val="63"/>
    <w:rsid w:val="00C3427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11">
    <w:name w:val="Абзац списка1"/>
    <w:basedOn w:val="a"/>
    <w:rsid w:val="008A7369"/>
    <w:pPr>
      <w:ind w:left="720"/>
    </w:pPr>
    <w:rPr>
      <w:rFonts w:ascii="Calibri" w:eastAsia="Times New Roman" w:hAnsi="Calibri"/>
      <w:sz w:val="22"/>
      <w:szCs w:val="22"/>
    </w:rPr>
  </w:style>
  <w:style w:type="character" w:styleId="af3">
    <w:name w:val="annotation reference"/>
    <w:basedOn w:val="a0"/>
    <w:uiPriority w:val="99"/>
    <w:semiHidden/>
    <w:unhideWhenUsed/>
    <w:rsid w:val="00962186"/>
    <w:rPr>
      <w:sz w:val="16"/>
      <w:szCs w:val="16"/>
    </w:rPr>
  </w:style>
  <w:style w:type="paragraph" w:styleId="af4">
    <w:name w:val="annotation text"/>
    <w:basedOn w:val="a"/>
    <w:link w:val="af5"/>
    <w:uiPriority w:val="99"/>
    <w:semiHidden/>
    <w:unhideWhenUsed/>
    <w:rsid w:val="00962186"/>
    <w:pPr>
      <w:spacing w:line="240" w:lineRule="auto"/>
    </w:pPr>
    <w:rPr>
      <w:sz w:val="20"/>
      <w:szCs w:val="20"/>
    </w:rPr>
  </w:style>
  <w:style w:type="character" w:customStyle="1" w:styleId="af5">
    <w:name w:val="Текст примечания Знак"/>
    <w:basedOn w:val="a0"/>
    <w:link w:val="af4"/>
    <w:uiPriority w:val="99"/>
    <w:semiHidden/>
    <w:rsid w:val="00962186"/>
    <w:rPr>
      <w:sz w:val="20"/>
      <w:szCs w:val="20"/>
    </w:rPr>
  </w:style>
  <w:style w:type="paragraph" w:styleId="af6">
    <w:name w:val="annotation subject"/>
    <w:basedOn w:val="af4"/>
    <w:next w:val="af4"/>
    <w:link w:val="af7"/>
    <w:uiPriority w:val="99"/>
    <w:semiHidden/>
    <w:unhideWhenUsed/>
    <w:rsid w:val="00962186"/>
    <w:rPr>
      <w:b/>
      <w:bCs/>
    </w:rPr>
  </w:style>
  <w:style w:type="character" w:customStyle="1" w:styleId="af7">
    <w:name w:val="Тема примечания Знак"/>
    <w:basedOn w:val="af5"/>
    <w:link w:val="af6"/>
    <w:uiPriority w:val="99"/>
    <w:semiHidden/>
    <w:rsid w:val="00962186"/>
    <w:rPr>
      <w:b/>
      <w:bCs/>
      <w:sz w:val="20"/>
      <w:szCs w:val="20"/>
    </w:rPr>
  </w:style>
  <w:style w:type="character" w:customStyle="1" w:styleId="listdocstitle">
    <w:name w:val="list_docs_title"/>
    <w:basedOn w:val="a0"/>
    <w:rsid w:val="002B1E61"/>
  </w:style>
  <w:style w:type="paragraph" w:customStyle="1" w:styleId="s1">
    <w:name w:val="s_1"/>
    <w:basedOn w:val="a"/>
    <w:rsid w:val="002B1E61"/>
    <w:pPr>
      <w:spacing w:before="100" w:beforeAutospacing="1" w:after="100" w:afterAutospacing="1" w:line="240" w:lineRule="auto"/>
    </w:pPr>
    <w:rPr>
      <w:rFonts w:eastAsia="Times New Roman"/>
      <w:lang w:eastAsia="ru-RU"/>
    </w:rPr>
  </w:style>
  <w:style w:type="character" w:customStyle="1" w:styleId="osntexttransparent">
    <w:name w:val="osn_text_transparent"/>
    <w:basedOn w:val="a0"/>
    <w:rsid w:val="007B31A1"/>
  </w:style>
  <w:style w:type="character" w:customStyle="1" w:styleId="60">
    <w:name w:val="Заголовок 6 Знак"/>
    <w:basedOn w:val="a0"/>
    <w:link w:val="6"/>
    <w:uiPriority w:val="9"/>
    <w:semiHidden/>
    <w:rsid w:val="002F0397"/>
    <w:rPr>
      <w:rFonts w:asciiTheme="majorHAnsi" w:eastAsiaTheme="majorEastAsia" w:hAnsiTheme="majorHAnsi" w:cstheme="majorBidi"/>
      <w:i/>
      <w:iCs/>
      <w:color w:val="243F60" w:themeColor="accent1" w:themeShade="7F"/>
    </w:rPr>
  </w:style>
  <w:style w:type="paragraph" w:styleId="22">
    <w:name w:val="Body Text 2"/>
    <w:basedOn w:val="a"/>
    <w:link w:val="23"/>
    <w:uiPriority w:val="99"/>
    <w:semiHidden/>
    <w:unhideWhenUsed/>
    <w:rsid w:val="002F0397"/>
    <w:pPr>
      <w:widowControl w:val="0"/>
      <w:spacing w:after="120" w:line="480" w:lineRule="auto"/>
    </w:pPr>
    <w:rPr>
      <w:rFonts w:ascii="Helvetica" w:eastAsia="Times New Roman" w:hAnsi="Helvetica"/>
      <w:snapToGrid w:val="0"/>
      <w:szCs w:val="20"/>
    </w:rPr>
  </w:style>
  <w:style w:type="character" w:customStyle="1" w:styleId="23">
    <w:name w:val="Основной текст 2 Знак"/>
    <w:basedOn w:val="a0"/>
    <w:link w:val="22"/>
    <w:uiPriority w:val="99"/>
    <w:semiHidden/>
    <w:rsid w:val="002F0397"/>
    <w:rPr>
      <w:rFonts w:ascii="Helvetica" w:eastAsia="Times New Roman" w:hAnsi="Helvetica"/>
      <w:snapToGrid w:val="0"/>
      <w:szCs w:val="20"/>
    </w:rPr>
  </w:style>
  <w:style w:type="paragraph" w:customStyle="1" w:styleId="FR1">
    <w:name w:val="FR1"/>
    <w:rsid w:val="002F0397"/>
    <w:pPr>
      <w:widowControl w:val="0"/>
      <w:spacing w:before="480" w:after="0" w:line="240" w:lineRule="auto"/>
      <w:ind w:left="1680" w:right="200"/>
      <w:jc w:val="center"/>
    </w:pPr>
    <w:rPr>
      <w:rFonts w:eastAsia="Times New Roman"/>
      <w:b/>
      <w:snapToGrid w:val="0"/>
      <w:sz w:val="40"/>
      <w:szCs w:val="20"/>
      <w:lang w:eastAsia="ru-RU"/>
    </w:rPr>
  </w:style>
  <w:style w:type="paragraph" w:styleId="12">
    <w:name w:val="toc 1"/>
    <w:basedOn w:val="a"/>
    <w:next w:val="a"/>
    <w:autoRedefine/>
    <w:uiPriority w:val="39"/>
    <w:unhideWhenUsed/>
    <w:rsid w:val="006D58A5"/>
    <w:pPr>
      <w:spacing w:after="100"/>
    </w:pPr>
  </w:style>
  <w:style w:type="paragraph" w:styleId="24">
    <w:name w:val="toc 2"/>
    <w:basedOn w:val="a"/>
    <w:next w:val="a"/>
    <w:autoRedefine/>
    <w:uiPriority w:val="39"/>
    <w:unhideWhenUsed/>
    <w:rsid w:val="006D58A5"/>
    <w:pPr>
      <w:spacing w:after="100"/>
      <w:ind w:left="240"/>
    </w:pPr>
  </w:style>
  <w:style w:type="character" w:styleId="af8">
    <w:name w:val="Subtle Emphasis"/>
    <w:basedOn w:val="a0"/>
    <w:uiPriority w:val="19"/>
    <w:qFormat/>
    <w:rsid w:val="00707363"/>
    <w:rPr>
      <w:rFonts w:ascii="Times New Roman" w:hAnsi="Times New Roman"/>
      <w:i/>
      <w:iCs/>
      <w:color w:val="auto"/>
      <w:sz w:val="24"/>
    </w:rPr>
  </w:style>
  <w:style w:type="character" w:customStyle="1" w:styleId="70">
    <w:name w:val="Заголовок 7 Знак"/>
    <w:basedOn w:val="a0"/>
    <w:link w:val="7"/>
    <w:uiPriority w:val="9"/>
    <w:rsid w:val="00F93EF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617733">
      <w:bodyDiv w:val="1"/>
      <w:marLeft w:val="0"/>
      <w:marRight w:val="0"/>
      <w:marTop w:val="0"/>
      <w:marBottom w:val="0"/>
      <w:divBdr>
        <w:top w:val="none" w:sz="0" w:space="0" w:color="auto"/>
        <w:left w:val="none" w:sz="0" w:space="0" w:color="auto"/>
        <w:bottom w:val="none" w:sz="0" w:space="0" w:color="auto"/>
        <w:right w:val="none" w:sz="0" w:space="0" w:color="auto"/>
      </w:divBdr>
    </w:div>
    <w:div w:id="272254443">
      <w:bodyDiv w:val="1"/>
      <w:marLeft w:val="0"/>
      <w:marRight w:val="0"/>
      <w:marTop w:val="0"/>
      <w:marBottom w:val="0"/>
      <w:divBdr>
        <w:top w:val="none" w:sz="0" w:space="0" w:color="auto"/>
        <w:left w:val="none" w:sz="0" w:space="0" w:color="auto"/>
        <w:bottom w:val="none" w:sz="0" w:space="0" w:color="auto"/>
        <w:right w:val="none" w:sz="0" w:space="0" w:color="auto"/>
      </w:divBdr>
    </w:div>
    <w:div w:id="280575343">
      <w:bodyDiv w:val="1"/>
      <w:marLeft w:val="0"/>
      <w:marRight w:val="0"/>
      <w:marTop w:val="0"/>
      <w:marBottom w:val="0"/>
      <w:divBdr>
        <w:top w:val="none" w:sz="0" w:space="0" w:color="auto"/>
        <w:left w:val="none" w:sz="0" w:space="0" w:color="auto"/>
        <w:bottom w:val="none" w:sz="0" w:space="0" w:color="auto"/>
        <w:right w:val="none" w:sz="0" w:space="0" w:color="auto"/>
      </w:divBdr>
      <w:divsChild>
        <w:div w:id="1827940705">
          <w:marLeft w:val="0"/>
          <w:marRight w:val="0"/>
          <w:marTop w:val="0"/>
          <w:marBottom w:val="0"/>
          <w:divBdr>
            <w:top w:val="none" w:sz="0" w:space="0" w:color="auto"/>
            <w:left w:val="none" w:sz="0" w:space="0" w:color="auto"/>
            <w:bottom w:val="none" w:sz="0" w:space="0" w:color="auto"/>
            <w:right w:val="none" w:sz="0" w:space="0" w:color="auto"/>
          </w:divBdr>
        </w:div>
      </w:divsChild>
    </w:div>
    <w:div w:id="402726242">
      <w:bodyDiv w:val="1"/>
      <w:marLeft w:val="0"/>
      <w:marRight w:val="0"/>
      <w:marTop w:val="0"/>
      <w:marBottom w:val="0"/>
      <w:divBdr>
        <w:top w:val="none" w:sz="0" w:space="0" w:color="auto"/>
        <w:left w:val="none" w:sz="0" w:space="0" w:color="auto"/>
        <w:bottom w:val="none" w:sz="0" w:space="0" w:color="auto"/>
        <w:right w:val="none" w:sz="0" w:space="0" w:color="auto"/>
      </w:divBdr>
      <w:divsChild>
        <w:div w:id="768156306">
          <w:marLeft w:val="0"/>
          <w:marRight w:val="0"/>
          <w:marTop w:val="0"/>
          <w:marBottom w:val="0"/>
          <w:divBdr>
            <w:top w:val="none" w:sz="0" w:space="0" w:color="auto"/>
            <w:left w:val="none" w:sz="0" w:space="0" w:color="auto"/>
            <w:bottom w:val="none" w:sz="0" w:space="0" w:color="auto"/>
            <w:right w:val="none" w:sz="0" w:space="0" w:color="auto"/>
          </w:divBdr>
        </w:div>
        <w:div w:id="998339680">
          <w:marLeft w:val="0"/>
          <w:marRight w:val="0"/>
          <w:marTop w:val="0"/>
          <w:marBottom w:val="0"/>
          <w:divBdr>
            <w:top w:val="none" w:sz="0" w:space="0" w:color="auto"/>
            <w:left w:val="none" w:sz="0" w:space="0" w:color="auto"/>
            <w:bottom w:val="none" w:sz="0" w:space="0" w:color="auto"/>
            <w:right w:val="none" w:sz="0" w:space="0" w:color="auto"/>
          </w:divBdr>
        </w:div>
        <w:div w:id="1146044547">
          <w:marLeft w:val="0"/>
          <w:marRight w:val="0"/>
          <w:marTop w:val="0"/>
          <w:marBottom w:val="0"/>
          <w:divBdr>
            <w:top w:val="none" w:sz="0" w:space="0" w:color="auto"/>
            <w:left w:val="none" w:sz="0" w:space="0" w:color="auto"/>
            <w:bottom w:val="none" w:sz="0" w:space="0" w:color="auto"/>
            <w:right w:val="none" w:sz="0" w:space="0" w:color="auto"/>
          </w:divBdr>
        </w:div>
        <w:div w:id="2138064814">
          <w:marLeft w:val="0"/>
          <w:marRight w:val="0"/>
          <w:marTop w:val="0"/>
          <w:marBottom w:val="0"/>
          <w:divBdr>
            <w:top w:val="none" w:sz="0" w:space="0" w:color="auto"/>
            <w:left w:val="none" w:sz="0" w:space="0" w:color="auto"/>
            <w:bottom w:val="none" w:sz="0" w:space="0" w:color="auto"/>
            <w:right w:val="none" w:sz="0" w:space="0" w:color="auto"/>
          </w:divBdr>
        </w:div>
        <w:div w:id="210925473">
          <w:marLeft w:val="0"/>
          <w:marRight w:val="0"/>
          <w:marTop w:val="0"/>
          <w:marBottom w:val="0"/>
          <w:divBdr>
            <w:top w:val="none" w:sz="0" w:space="0" w:color="auto"/>
            <w:left w:val="none" w:sz="0" w:space="0" w:color="auto"/>
            <w:bottom w:val="none" w:sz="0" w:space="0" w:color="auto"/>
            <w:right w:val="none" w:sz="0" w:space="0" w:color="auto"/>
          </w:divBdr>
        </w:div>
        <w:div w:id="387649221">
          <w:marLeft w:val="0"/>
          <w:marRight w:val="0"/>
          <w:marTop w:val="0"/>
          <w:marBottom w:val="0"/>
          <w:divBdr>
            <w:top w:val="none" w:sz="0" w:space="0" w:color="auto"/>
            <w:left w:val="none" w:sz="0" w:space="0" w:color="auto"/>
            <w:bottom w:val="none" w:sz="0" w:space="0" w:color="auto"/>
            <w:right w:val="none" w:sz="0" w:space="0" w:color="auto"/>
          </w:divBdr>
        </w:div>
        <w:div w:id="536237810">
          <w:marLeft w:val="0"/>
          <w:marRight w:val="0"/>
          <w:marTop w:val="0"/>
          <w:marBottom w:val="0"/>
          <w:divBdr>
            <w:top w:val="none" w:sz="0" w:space="0" w:color="auto"/>
            <w:left w:val="none" w:sz="0" w:space="0" w:color="auto"/>
            <w:bottom w:val="none" w:sz="0" w:space="0" w:color="auto"/>
            <w:right w:val="none" w:sz="0" w:space="0" w:color="auto"/>
          </w:divBdr>
        </w:div>
        <w:div w:id="661088127">
          <w:marLeft w:val="0"/>
          <w:marRight w:val="0"/>
          <w:marTop w:val="0"/>
          <w:marBottom w:val="0"/>
          <w:divBdr>
            <w:top w:val="none" w:sz="0" w:space="0" w:color="auto"/>
            <w:left w:val="none" w:sz="0" w:space="0" w:color="auto"/>
            <w:bottom w:val="none" w:sz="0" w:space="0" w:color="auto"/>
            <w:right w:val="none" w:sz="0" w:space="0" w:color="auto"/>
          </w:divBdr>
        </w:div>
        <w:div w:id="480973536">
          <w:marLeft w:val="0"/>
          <w:marRight w:val="0"/>
          <w:marTop w:val="0"/>
          <w:marBottom w:val="0"/>
          <w:divBdr>
            <w:top w:val="none" w:sz="0" w:space="0" w:color="auto"/>
            <w:left w:val="none" w:sz="0" w:space="0" w:color="auto"/>
            <w:bottom w:val="none" w:sz="0" w:space="0" w:color="auto"/>
            <w:right w:val="none" w:sz="0" w:space="0" w:color="auto"/>
          </w:divBdr>
        </w:div>
        <w:div w:id="917594742">
          <w:marLeft w:val="0"/>
          <w:marRight w:val="0"/>
          <w:marTop w:val="0"/>
          <w:marBottom w:val="0"/>
          <w:divBdr>
            <w:top w:val="none" w:sz="0" w:space="0" w:color="auto"/>
            <w:left w:val="none" w:sz="0" w:space="0" w:color="auto"/>
            <w:bottom w:val="none" w:sz="0" w:space="0" w:color="auto"/>
            <w:right w:val="none" w:sz="0" w:space="0" w:color="auto"/>
          </w:divBdr>
        </w:div>
        <w:div w:id="1702431893">
          <w:marLeft w:val="0"/>
          <w:marRight w:val="0"/>
          <w:marTop w:val="0"/>
          <w:marBottom w:val="0"/>
          <w:divBdr>
            <w:top w:val="none" w:sz="0" w:space="0" w:color="auto"/>
            <w:left w:val="none" w:sz="0" w:space="0" w:color="auto"/>
            <w:bottom w:val="none" w:sz="0" w:space="0" w:color="auto"/>
            <w:right w:val="none" w:sz="0" w:space="0" w:color="auto"/>
          </w:divBdr>
        </w:div>
        <w:div w:id="885600626">
          <w:marLeft w:val="0"/>
          <w:marRight w:val="0"/>
          <w:marTop w:val="0"/>
          <w:marBottom w:val="0"/>
          <w:divBdr>
            <w:top w:val="none" w:sz="0" w:space="0" w:color="auto"/>
            <w:left w:val="none" w:sz="0" w:space="0" w:color="auto"/>
            <w:bottom w:val="none" w:sz="0" w:space="0" w:color="auto"/>
            <w:right w:val="none" w:sz="0" w:space="0" w:color="auto"/>
          </w:divBdr>
        </w:div>
        <w:div w:id="1942295113">
          <w:marLeft w:val="0"/>
          <w:marRight w:val="0"/>
          <w:marTop w:val="0"/>
          <w:marBottom w:val="0"/>
          <w:divBdr>
            <w:top w:val="none" w:sz="0" w:space="0" w:color="auto"/>
            <w:left w:val="none" w:sz="0" w:space="0" w:color="auto"/>
            <w:bottom w:val="none" w:sz="0" w:space="0" w:color="auto"/>
            <w:right w:val="none" w:sz="0" w:space="0" w:color="auto"/>
          </w:divBdr>
        </w:div>
        <w:div w:id="2019310340">
          <w:marLeft w:val="0"/>
          <w:marRight w:val="0"/>
          <w:marTop w:val="0"/>
          <w:marBottom w:val="0"/>
          <w:divBdr>
            <w:top w:val="none" w:sz="0" w:space="0" w:color="auto"/>
            <w:left w:val="none" w:sz="0" w:space="0" w:color="auto"/>
            <w:bottom w:val="none" w:sz="0" w:space="0" w:color="auto"/>
            <w:right w:val="none" w:sz="0" w:space="0" w:color="auto"/>
          </w:divBdr>
        </w:div>
        <w:div w:id="622688239">
          <w:marLeft w:val="0"/>
          <w:marRight w:val="0"/>
          <w:marTop w:val="0"/>
          <w:marBottom w:val="0"/>
          <w:divBdr>
            <w:top w:val="none" w:sz="0" w:space="0" w:color="auto"/>
            <w:left w:val="none" w:sz="0" w:space="0" w:color="auto"/>
            <w:bottom w:val="none" w:sz="0" w:space="0" w:color="auto"/>
            <w:right w:val="none" w:sz="0" w:space="0" w:color="auto"/>
          </w:divBdr>
        </w:div>
        <w:div w:id="1059093308">
          <w:marLeft w:val="0"/>
          <w:marRight w:val="0"/>
          <w:marTop w:val="0"/>
          <w:marBottom w:val="0"/>
          <w:divBdr>
            <w:top w:val="none" w:sz="0" w:space="0" w:color="auto"/>
            <w:left w:val="none" w:sz="0" w:space="0" w:color="auto"/>
            <w:bottom w:val="none" w:sz="0" w:space="0" w:color="auto"/>
            <w:right w:val="none" w:sz="0" w:space="0" w:color="auto"/>
          </w:divBdr>
        </w:div>
        <w:div w:id="1304846914">
          <w:marLeft w:val="0"/>
          <w:marRight w:val="0"/>
          <w:marTop w:val="0"/>
          <w:marBottom w:val="0"/>
          <w:divBdr>
            <w:top w:val="none" w:sz="0" w:space="0" w:color="auto"/>
            <w:left w:val="none" w:sz="0" w:space="0" w:color="auto"/>
            <w:bottom w:val="none" w:sz="0" w:space="0" w:color="auto"/>
            <w:right w:val="none" w:sz="0" w:space="0" w:color="auto"/>
          </w:divBdr>
        </w:div>
        <w:div w:id="812913058">
          <w:marLeft w:val="0"/>
          <w:marRight w:val="0"/>
          <w:marTop w:val="0"/>
          <w:marBottom w:val="0"/>
          <w:divBdr>
            <w:top w:val="none" w:sz="0" w:space="0" w:color="auto"/>
            <w:left w:val="none" w:sz="0" w:space="0" w:color="auto"/>
            <w:bottom w:val="none" w:sz="0" w:space="0" w:color="auto"/>
            <w:right w:val="none" w:sz="0" w:space="0" w:color="auto"/>
          </w:divBdr>
        </w:div>
        <w:div w:id="124129600">
          <w:marLeft w:val="0"/>
          <w:marRight w:val="0"/>
          <w:marTop w:val="0"/>
          <w:marBottom w:val="0"/>
          <w:divBdr>
            <w:top w:val="none" w:sz="0" w:space="0" w:color="auto"/>
            <w:left w:val="none" w:sz="0" w:space="0" w:color="auto"/>
            <w:bottom w:val="none" w:sz="0" w:space="0" w:color="auto"/>
            <w:right w:val="none" w:sz="0" w:space="0" w:color="auto"/>
          </w:divBdr>
        </w:div>
        <w:div w:id="1655910342">
          <w:marLeft w:val="0"/>
          <w:marRight w:val="0"/>
          <w:marTop w:val="0"/>
          <w:marBottom w:val="0"/>
          <w:divBdr>
            <w:top w:val="none" w:sz="0" w:space="0" w:color="auto"/>
            <w:left w:val="none" w:sz="0" w:space="0" w:color="auto"/>
            <w:bottom w:val="none" w:sz="0" w:space="0" w:color="auto"/>
            <w:right w:val="none" w:sz="0" w:space="0" w:color="auto"/>
          </w:divBdr>
        </w:div>
        <w:div w:id="1725761861">
          <w:marLeft w:val="0"/>
          <w:marRight w:val="0"/>
          <w:marTop w:val="0"/>
          <w:marBottom w:val="0"/>
          <w:divBdr>
            <w:top w:val="none" w:sz="0" w:space="0" w:color="auto"/>
            <w:left w:val="none" w:sz="0" w:space="0" w:color="auto"/>
            <w:bottom w:val="none" w:sz="0" w:space="0" w:color="auto"/>
            <w:right w:val="none" w:sz="0" w:space="0" w:color="auto"/>
          </w:divBdr>
        </w:div>
      </w:divsChild>
    </w:div>
    <w:div w:id="447240662">
      <w:bodyDiv w:val="1"/>
      <w:marLeft w:val="0"/>
      <w:marRight w:val="0"/>
      <w:marTop w:val="0"/>
      <w:marBottom w:val="0"/>
      <w:divBdr>
        <w:top w:val="none" w:sz="0" w:space="0" w:color="auto"/>
        <w:left w:val="none" w:sz="0" w:space="0" w:color="auto"/>
        <w:bottom w:val="none" w:sz="0" w:space="0" w:color="auto"/>
        <w:right w:val="none" w:sz="0" w:space="0" w:color="auto"/>
      </w:divBdr>
    </w:div>
    <w:div w:id="491335832">
      <w:bodyDiv w:val="1"/>
      <w:marLeft w:val="0"/>
      <w:marRight w:val="0"/>
      <w:marTop w:val="0"/>
      <w:marBottom w:val="0"/>
      <w:divBdr>
        <w:top w:val="none" w:sz="0" w:space="0" w:color="auto"/>
        <w:left w:val="none" w:sz="0" w:space="0" w:color="auto"/>
        <w:bottom w:val="none" w:sz="0" w:space="0" w:color="auto"/>
        <w:right w:val="none" w:sz="0" w:space="0" w:color="auto"/>
      </w:divBdr>
    </w:div>
    <w:div w:id="517039536">
      <w:bodyDiv w:val="1"/>
      <w:marLeft w:val="0"/>
      <w:marRight w:val="0"/>
      <w:marTop w:val="0"/>
      <w:marBottom w:val="0"/>
      <w:divBdr>
        <w:top w:val="none" w:sz="0" w:space="0" w:color="auto"/>
        <w:left w:val="none" w:sz="0" w:space="0" w:color="auto"/>
        <w:bottom w:val="none" w:sz="0" w:space="0" w:color="auto"/>
        <w:right w:val="none" w:sz="0" w:space="0" w:color="auto"/>
      </w:divBdr>
      <w:divsChild>
        <w:div w:id="1819613643">
          <w:marLeft w:val="0"/>
          <w:marRight w:val="0"/>
          <w:marTop w:val="0"/>
          <w:marBottom w:val="0"/>
          <w:divBdr>
            <w:top w:val="none" w:sz="0" w:space="0" w:color="auto"/>
            <w:left w:val="none" w:sz="0" w:space="0" w:color="auto"/>
            <w:bottom w:val="none" w:sz="0" w:space="0" w:color="auto"/>
            <w:right w:val="none" w:sz="0" w:space="0" w:color="auto"/>
          </w:divBdr>
        </w:div>
      </w:divsChild>
    </w:div>
    <w:div w:id="523324297">
      <w:bodyDiv w:val="1"/>
      <w:marLeft w:val="0"/>
      <w:marRight w:val="0"/>
      <w:marTop w:val="0"/>
      <w:marBottom w:val="0"/>
      <w:divBdr>
        <w:top w:val="none" w:sz="0" w:space="0" w:color="auto"/>
        <w:left w:val="none" w:sz="0" w:space="0" w:color="auto"/>
        <w:bottom w:val="none" w:sz="0" w:space="0" w:color="auto"/>
        <w:right w:val="none" w:sz="0" w:space="0" w:color="auto"/>
      </w:divBdr>
      <w:divsChild>
        <w:div w:id="1838227788">
          <w:marLeft w:val="0"/>
          <w:marRight w:val="0"/>
          <w:marTop w:val="0"/>
          <w:marBottom w:val="0"/>
          <w:divBdr>
            <w:top w:val="none" w:sz="0" w:space="0" w:color="auto"/>
            <w:left w:val="none" w:sz="0" w:space="0" w:color="auto"/>
            <w:bottom w:val="none" w:sz="0" w:space="0" w:color="auto"/>
            <w:right w:val="none" w:sz="0" w:space="0" w:color="auto"/>
          </w:divBdr>
        </w:div>
        <w:div w:id="2024621752">
          <w:marLeft w:val="0"/>
          <w:marRight w:val="0"/>
          <w:marTop w:val="0"/>
          <w:marBottom w:val="0"/>
          <w:divBdr>
            <w:top w:val="none" w:sz="0" w:space="0" w:color="auto"/>
            <w:left w:val="none" w:sz="0" w:space="0" w:color="auto"/>
            <w:bottom w:val="none" w:sz="0" w:space="0" w:color="auto"/>
            <w:right w:val="none" w:sz="0" w:space="0" w:color="auto"/>
          </w:divBdr>
        </w:div>
        <w:div w:id="485169978">
          <w:marLeft w:val="0"/>
          <w:marRight w:val="0"/>
          <w:marTop w:val="0"/>
          <w:marBottom w:val="0"/>
          <w:divBdr>
            <w:top w:val="none" w:sz="0" w:space="0" w:color="auto"/>
            <w:left w:val="none" w:sz="0" w:space="0" w:color="auto"/>
            <w:bottom w:val="none" w:sz="0" w:space="0" w:color="auto"/>
            <w:right w:val="none" w:sz="0" w:space="0" w:color="auto"/>
          </w:divBdr>
        </w:div>
      </w:divsChild>
    </w:div>
    <w:div w:id="572273350">
      <w:bodyDiv w:val="1"/>
      <w:marLeft w:val="0"/>
      <w:marRight w:val="0"/>
      <w:marTop w:val="0"/>
      <w:marBottom w:val="0"/>
      <w:divBdr>
        <w:top w:val="none" w:sz="0" w:space="0" w:color="auto"/>
        <w:left w:val="none" w:sz="0" w:space="0" w:color="auto"/>
        <w:bottom w:val="none" w:sz="0" w:space="0" w:color="auto"/>
        <w:right w:val="none" w:sz="0" w:space="0" w:color="auto"/>
      </w:divBdr>
    </w:div>
    <w:div w:id="632947500">
      <w:bodyDiv w:val="1"/>
      <w:marLeft w:val="0"/>
      <w:marRight w:val="0"/>
      <w:marTop w:val="0"/>
      <w:marBottom w:val="0"/>
      <w:divBdr>
        <w:top w:val="none" w:sz="0" w:space="0" w:color="auto"/>
        <w:left w:val="none" w:sz="0" w:space="0" w:color="auto"/>
        <w:bottom w:val="none" w:sz="0" w:space="0" w:color="auto"/>
        <w:right w:val="none" w:sz="0" w:space="0" w:color="auto"/>
      </w:divBdr>
    </w:div>
    <w:div w:id="709572623">
      <w:bodyDiv w:val="1"/>
      <w:marLeft w:val="0"/>
      <w:marRight w:val="0"/>
      <w:marTop w:val="0"/>
      <w:marBottom w:val="0"/>
      <w:divBdr>
        <w:top w:val="none" w:sz="0" w:space="0" w:color="auto"/>
        <w:left w:val="none" w:sz="0" w:space="0" w:color="auto"/>
        <w:bottom w:val="none" w:sz="0" w:space="0" w:color="auto"/>
        <w:right w:val="none" w:sz="0" w:space="0" w:color="auto"/>
      </w:divBdr>
    </w:div>
    <w:div w:id="781653792">
      <w:bodyDiv w:val="1"/>
      <w:marLeft w:val="0"/>
      <w:marRight w:val="0"/>
      <w:marTop w:val="0"/>
      <w:marBottom w:val="0"/>
      <w:divBdr>
        <w:top w:val="none" w:sz="0" w:space="0" w:color="auto"/>
        <w:left w:val="none" w:sz="0" w:space="0" w:color="auto"/>
        <w:bottom w:val="none" w:sz="0" w:space="0" w:color="auto"/>
        <w:right w:val="none" w:sz="0" w:space="0" w:color="auto"/>
      </w:divBdr>
    </w:div>
    <w:div w:id="810943285">
      <w:bodyDiv w:val="1"/>
      <w:marLeft w:val="0"/>
      <w:marRight w:val="0"/>
      <w:marTop w:val="0"/>
      <w:marBottom w:val="0"/>
      <w:divBdr>
        <w:top w:val="none" w:sz="0" w:space="0" w:color="auto"/>
        <w:left w:val="none" w:sz="0" w:space="0" w:color="auto"/>
        <w:bottom w:val="none" w:sz="0" w:space="0" w:color="auto"/>
        <w:right w:val="none" w:sz="0" w:space="0" w:color="auto"/>
      </w:divBdr>
    </w:div>
    <w:div w:id="886452070">
      <w:bodyDiv w:val="1"/>
      <w:marLeft w:val="0"/>
      <w:marRight w:val="0"/>
      <w:marTop w:val="0"/>
      <w:marBottom w:val="0"/>
      <w:divBdr>
        <w:top w:val="none" w:sz="0" w:space="0" w:color="auto"/>
        <w:left w:val="none" w:sz="0" w:space="0" w:color="auto"/>
        <w:bottom w:val="none" w:sz="0" w:space="0" w:color="auto"/>
        <w:right w:val="none" w:sz="0" w:space="0" w:color="auto"/>
      </w:divBdr>
    </w:div>
    <w:div w:id="893849601">
      <w:bodyDiv w:val="1"/>
      <w:marLeft w:val="0"/>
      <w:marRight w:val="0"/>
      <w:marTop w:val="0"/>
      <w:marBottom w:val="0"/>
      <w:divBdr>
        <w:top w:val="none" w:sz="0" w:space="0" w:color="auto"/>
        <w:left w:val="none" w:sz="0" w:space="0" w:color="auto"/>
        <w:bottom w:val="none" w:sz="0" w:space="0" w:color="auto"/>
        <w:right w:val="none" w:sz="0" w:space="0" w:color="auto"/>
      </w:divBdr>
      <w:divsChild>
        <w:div w:id="16079439">
          <w:marLeft w:val="0"/>
          <w:marRight w:val="0"/>
          <w:marTop w:val="0"/>
          <w:marBottom w:val="0"/>
          <w:divBdr>
            <w:top w:val="none" w:sz="0" w:space="0" w:color="auto"/>
            <w:left w:val="none" w:sz="0" w:space="0" w:color="auto"/>
            <w:bottom w:val="none" w:sz="0" w:space="0" w:color="auto"/>
            <w:right w:val="none" w:sz="0" w:space="0" w:color="auto"/>
          </w:divBdr>
        </w:div>
      </w:divsChild>
    </w:div>
    <w:div w:id="1112437085">
      <w:bodyDiv w:val="1"/>
      <w:marLeft w:val="0"/>
      <w:marRight w:val="0"/>
      <w:marTop w:val="0"/>
      <w:marBottom w:val="0"/>
      <w:divBdr>
        <w:top w:val="none" w:sz="0" w:space="0" w:color="auto"/>
        <w:left w:val="none" w:sz="0" w:space="0" w:color="auto"/>
        <w:bottom w:val="none" w:sz="0" w:space="0" w:color="auto"/>
        <w:right w:val="none" w:sz="0" w:space="0" w:color="auto"/>
      </w:divBdr>
    </w:div>
    <w:div w:id="1141341775">
      <w:bodyDiv w:val="1"/>
      <w:marLeft w:val="0"/>
      <w:marRight w:val="0"/>
      <w:marTop w:val="0"/>
      <w:marBottom w:val="0"/>
      <w:divBdr>
        <w:top w:val="none" w:sz="0" w:space="0" w:color="auto"/>
        <w:left w:val="none" w:sz="0" w:space="0" w:color="auto"/>
        <w:bottom w:val="none" w:sz="0" w:space="0" w:color="auto"/>
        <w:right w:val="none" w:sz="0" w:space="0" w:color="auto"/>
      </w:divBdr>
    </w:div>
    <w:div w:id="1165629511">
      <w:bodyDiv w:val="1"/>
      <w:marLeft w:val="0"/>
      <w:marRight w:val="0"/>
      <w:marTop w:val="0"/>
      <w:marBottom w:val="0"/>
      <w:divBdr>
        <w:top w:val="none" w:sz="0" w:space="0" w:color="auto"/>
        <w:left w:val="none" w:sz="0" w:space="0" w:color="auto"/>
        <w:bottom w:val="none" w:sz="0" w:space="0" w:color="auto"/>
        <w:right w:val="none" w:sz="0" w:space="0" w:color="auto"/>
      </w:divBdr>
    </w:div>
    <w:div w:id="1257059999">
      <w:bodyDiv w:val="1"/>
      <w:marLeft w:val="0"/>
      <w:marRight w:val="0"/>
      <w:marTop w:val="0"/>
      <w:marBottom w:val="0"/>
      <w:divBdr>
        <w:top w:val="none" w:sz="0" w:space="0" w:color="auto"/>
        <w:left w:val="none" w:sz="0" w:space="0" w:color="auto"/>
        <w:bottom w:val="none" w:sz="0" w:space="0" w:color="auto"/>
        <w:right w:val="none" w:sz="0" w:space="0" w:color="auto"/>
      </w:divBdr>
    </w:div>
    <w:div w:id="1268272657">
      <w:bodyDiv w:val="1"/>
      <w:marLeft w:val="0"/>
      <w:marRight w:val="0"/>
      <w:marTop w:val="0"/>
      <w:marBottom w:val="0"/>
      <w:divBdr>
        <w:top w:val="none" w:sz="0" w:space="0" w:color="auto"/>
        <w:left w:val="none" w:sz="0" w:space="0" w:color="auto"/>
        <w:bottom w:val="none" w:sz="0" w:space="0" w:color="auto"/>
        <w:right w:val="none" w:sz="0" w:space="0" w:color="auto"/>
      </w:divBdr>
    </w:div>
    <w:div w:id="1292594513">
      <w:bodyDiv w:val="1"/>
      <w:marLeft w:val="0"/>
      <w:marRight w:val="0"/>
      <w:marTop w:val="0"/>
      <w:marBottom w:val="0"/>
      <w:divBdr>
        <w:top w:val="none" w:sz="0" w:space="0" w:color="auto"/>
        <w:left w:val="none" w:sz="0" w:space="0" w:color="auto"/>
        <w:bottom w:val="none" w:sz="0" w:space="0" w:color="auto"/>
        <w:right w:val="none" w:sz="0" w:space="0" w:color="auto"/>
      </w:divBdr>
    </w:div>
    <w:div w:id="1293289948">
      <w:bodyDiv w:val="1"/>
      <w:marLeft w:val="0"/>
      <w:marRight w:val="0"/>
      <w:marTop w:val="0"/>
      <w:marBottom w:val="0"/>
      <w:divBdr>
        <w:top w:val="none" w:sz="0" w:space="0" w:color="auto"/>
        <w:left w:val="none" w:sz="0" w:space="0" w:color="auto"/>
        <w:bottom w:val="none" w:sz="0" w:space="0" w:color="auto"/>
        <w:right w:val="none" w:sz="0" w:space="0" w:color="auto"/>
      </w:divBdr>
    </w:div>
    <w:div w:id="1328678432">
      <w:bodyDiv w:val="1"/>
      <w:marLeft w:val="0"/>
      <w:marRight w:val="0"/>
      <w:marTop w:val="0"/>
      <w:marBottom w:val="0"/>
      <w:divBdr>
        <w:top w:val="none" w:sz="0" w:space="0" w:color="auto"/>
        <w:left w:val="none" w:sz="0" w:space="0" w:color="auto"/>
        <w:bottom w:val="none" w:sz="0" w:space="0" w:color="auto"/>
        <w:right w:val="none" w:sz="0" w:space="0" w:color="auto"/>
      </w:divBdr>
    </w:div>
    <w:div w:id="1453666913">
      <w:bodyDiv w:val="1"/>
      <w:marLeft w:val="0"/>
      <w:marRight w:val="0"/>
      <w:marTop w:val="0"/>
      <w:marBottom w:val="0"/>
      <w:divBdr>
        <w:top w:val="none" w:sz="0" w:space="0" w:color="auto"/>
        <w:left w:val="none" w:sz="0" w:space="0" w:color="auto"/>
        <w:bottom w:val="none" w:sz="0" w:space="0" w:color="auto"/>
        <w:right w:val="none" w:sz="0" w:space="0" w:color="auto"/>
      </w:divBdr>
    </w:div>
    <w:div w:id="1530677621">
      <w:bodyDiv w:val="1"/>
      <w:marLeft w:val="0"/>
      <w:marRight w:val="0"/>
      <w:marTop w:val="0"/>
      <w:marBottom w:val="0"/>
      <w:divBdr>
        <w:top w:val="none" w:sz="0" w:space="0" w:color="auto"/>
        <w:left w:val="none" w:sz="0" w:space="0" w:color="auto"/>
        <w:bottom w:val="none" w:sz="0" w:space="0" w:color="auto"/>
        <w:right w:val="none" w:sz="0" w:space="0" w:color="auto"/>
      </w:divBdr>
    </w:div>
    <w:div w:id="1557232342">
      <w:bodyDiv w:val="1"/>
      <w:marLeft w:val="0"/>
      <w:marRight w:val="0"/>
      <w:marTop w:val="0"/>
      <w:marBottom w:val="0"/>
      <w:divBdr>
        <w:top w:val="none" w:sz="0" w:space="0" w:color="auto"/>
        <w:left w:val="none" w:sz="0" w:space="0" w:color="auto"/>
        <w:bottom w:val="none" w:sz="0" w:space="0" w:color="auto"/>
        <w:right w:val="none" w:sz="0" w:space="0" w:color="auto"/>
      </w:divBdr>
    </w:div>
    <w:div w:id="1558589225">
      <w:bodyDiv w:val="1"/>
      <w:marLeft w:val="0"/>
      <w:marRight w:val="0"/>
      <w:marTop w:val="0"/>
      <w:marBottom w:val="0"/>
      <w:divBdr>
        <w:top w:val="none" w:sz="0" w:space="0" w:color="auto"/>
        <w:left w:val="none" w:sz="0" w:space="0" w:color="auto"/>
        <w:bottom w:val="none" w:sz="0" w:space="0" w:color="auto"/>
        <w:right w:val="none" w:sz="0" w:space="0" w:color="auto"/>
      </w:divBdr>
    </w:div>
    <w:div w:id="1699500900">
      <w:bodyDiv w:val="1"/>
      <w:marLeft w:val="0"/>
      <w:marRight w:val="0"/>
      <w:marTop w:val="0"/>
      <w:marBottom w:val="0"/>
      <w:divBdr>
        <w:top w:val="none" w:sz="0" w:space="0" w:color="auto"/>
        <w:left w:val="none" w:sz="0" w:space="0" w:color="auto"/>
        <w:bottom w:val="none" w:sz="0" w:space="0" w:color="auto"/>
        <w:right w:val="none" w:sz="0" w:space="0" w:color="auto"/>
      </w:divBdr>
    </w:div>
    <w:div w:id="1726292021">
      <w:bodyDiv w:val="1"/>
      <w:marLeft w:val="0"/>
      <w:marRight w:val="0"/>
      <w:marTop w:val="0"/>
      <w:marBottom w:val="0"/>
      <w:divBdr>
        <w:top w:val="none" w:sz="0" w:space="0" w:color="auto"/>
        <w:left w:val="none" w:sz="0" w:space="0" w:color="auto"/>
        <w:bottom w:val="none" w:sz="0" w:space="0" w:color="auto"/>
        <w:right w:val="none" w:sz="0" w:space="0" w:color="auto"/>
      </w:divBdr>
      <w:divsChild>
        <w:div w:id="357701672">
          <w:marLeft w:val="0"/>
          <w:marRight w:val="0"/>
          <w:marTop w:val="0"/>
          <w:marBottom w:val="0"/>
          <w:divBdr>
            <w:top w:val="none" w:sz="0" w:space="0" w:color="auto"/>
            <w:left w:val="none" w:sz="0" w:space="0" w:color="auto"/>
            <w:bottom w:val="none" w:sz="0" w:space="0" w:color="auto"/>
            <w:right w:val="none" w:sz="0" w:space="0" w:color="auto"/>
          </w:divBdr>
        </w:div>
        <w:div w:id="1170025698">
          <w:marLeft w:val="0"/>
          <w:marRight w:val="0"/>
          <w:marTop w:val="0"/>
          <w:marBottom w:val="0"/>
          <w:divBdr>
            <w:top w:val="none" w:sz="0" w:space="0" w:color="auto"/>
            <w:left w:val="none" w:sz="0" w:space="0" w:color="auto"/>
            <w:bottom w:val="none" w:sz="0" w:space="0" w:color="auto"/>
            <w:right w:val="none" w:sz="0" w:space="0" w:color="auto"/>
          </w:divBdr>
        </w:div>
      </w:divsChild>
    </w:div>
    <w:div w:id="1848904436">
      <w:bodyDiv w:val="1"/>
      <w:marLeft w:val="0"/>
      <w:marRight w:val="0"/>
      <w:marTop w:val="0"/>
      <w:marBottom w:val="0"/>
      <w:divBdr>
        <w:top w:val="none" w:sz="0" w:space="0" w:color="auto"/>
        <w:left w:val="none" w:sz="0" w:space="0" w:color="auto"/>
        <w:bottom w:val="none" w:sz="0" w:space="0" w:color="auto"/>
        <w:right w:val="none" w:sz="0" w:space="0" w:color="auto"/>
      </w:divBdr>
    </w:div>
    <w:div w:id="1902250701">
      <w:bodyDiv w:val="1"/>
      <w:marLeft w:val="0"/>
      <w:marRight w:val="0"/>
      <w:marTop w:val="0"/>
      <w:marBottom w:val="0"/>
      <w:divBdr>
        <w:top w:val="none" w:sz="0" w:space="0" w:color="auto"/>
        <w:left w:val="none" w:sz="0" w:space="0" w:color="auto"/>
        <w:bottom w:val="none" w:sz="0" w:space="0" w:color="auto"/>
        <w:right w:val="none" w:sz="0" w:space="0" w:color="auto"/>
      </w:divBdr>
    </w:div>
    <w:div w:id="199795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image" Target="media/image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gks.ru/"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3.png"/><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roskazna.ru/"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www.roskazna.ru/" TargetMode="Externa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2.emf"/><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areweb.berkeley.edu/fields/erep/seminar/s2006/KTsuijobmarketpaper.pdf" TargetMode="External"/><Relationship Id="rId27" Type="http://schemas.openxmlformats.org/officeDocument/2006/relationships/fontTable" Target="fontTable.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9"/>
  <c:chart>
    <c:title>
      <c:tx>
        <c:rich>
          <a:bodyPr/>
          <a:lstStyle/>
          <a:p>
            <a:pPr>
              <a:defRPr/>
            </a:pPr>
            <a:r>
              <a:rPr lang="ru-RU" sz="1400">
                <a:latin typeface="Times New Roman" pitchFamily="18" charset="0"/>
                <a:cs typeface="Times New Roman" pitchFamily="18" charset="0"/>
              </a:rPr>
              <a:t>Доля нефтегазового сектора в доходах федерального бюджета (%)</a:t>
            </a:r>
          </a:p>
        </c:rich>
      </c:tx>
      <c:layout>
        <c:manualLayout>
          <c:xMode val="edge"/>
          <c:yMode val="edge"/>
          <c:x val="0.20612236994965613"/>
          <c:y val="4.2340589779218804E-3"/>
        </c:manualLayout>
      </c:layout>
    </c:title>
    <c:plotArea>
      <c:layout>
        <c:manualLayout>
          <c:layoutTarget val="inner"/>
          <c:xMode val="edge"/>
          <c:yMode val="edge"/>
          <c:x val="9.5918367346939842E-2"/>
          <c:y val="0.29083665338645903"/>
          <c:w val="0.88367346938775448"/>
          <c:h val="0.54980079681274896"/>
        </c:manualLayout>
      </c:layout>
      <c:lineChart>
        <c:grouping val="standard"/>
        <c:ser>
          <c:idx val="0"/>
          <c:order val="0"/>
          <c:dLbls>
            <c:dLbl>
              <c:idx val="0"/>
              <c:layout>
                <c:manualLayout>
                  <c:x val="-1.91256830601093E-2"/>
                  <c:y val="6.5040650406504072E-2"/>
                </c:manualLayout>
              </c:layout>
              <c:showVal val="1"/>
            </c:dLbl>
            <c:dLbl>
              <c:idx val="1"/>
              <c:layout>
                <c:manualLayout>
                  <c:x val="-3.5519125683060496E-2"/>
                  <c:y val="8.1300813008130079E-2"/>
                </c:manualLayout>
              </c:layout>
              <c:showVal val="1"/>
            </c:dLbl>
            <c:dLbl>
              <c:idx val="2"/>
              <c:layout>
                <c:manualLayout>
                  <c:x val="-4.0983606557377122E-2"/>
                  <c:y val="8.1300813008130079E-2"/>
                </c:manualLayout>
              </c:layout>
              <c:showVal val="1"/>
            </c:dLbl>
            <c:dLbl>
              <c:idx val="3"/>
              <c:layout>
                <c:manualLayout>
                  <c:x val="-8.1969364485177248E-3"/>
                  <c:y val="5.9620596205962086E-2"/>
                </c:manualLayout>
              </c:layout>
              <c:showVal val="1"/>
            </c:dLbl>
            <c:dLbl>
              <c:idx val="4"/>
              <c:layout>
                <c:manualLayout>
                  <c:x val="-3.2786885245901551E-2"/>
                  <c:y val="5.4200542005420085E-2"/>
                </c:manualLayout>
              </c:layout>
              <c:showVal val="1"/>
            </c:dLbl>
            <c:showVal val="1"/>
          </c:dLbls>
          <c:cat>
            <c:numRef>
              <c:f>Лист1!$A$1:$A$5</c:f>
              <c:numCache>
                <c:formatCode>General</c:formatCode>
                <c:ptCount val="5"/>
                <c:pt idx="0">
                  <c:v>1999</c:v>
                </c:pt>
                <c:pt idx="1">
                  <c:v>2000</c:v>
                </c:pt>
                <c:pt idx="2">
                  <c:v>2001</c:v>
                </c:pt>
                <c:pt idx="3">
                  <c:v>2002</c:v>
                </c:pt>
                <c:pt idx="4">
                  <c:v>2003</c:v>
                </c:pt>
              </c:numCache>
            </c:numRef>
          </c:cat>
          <c:val>
            <c:numRef>
              <c:f>Лист1!$B$1:$B$5</c:f>
              <c:numCache>
                <c:formatCode>0.0%</c:formatCode>
                <c:ptCount val="5"/>
                <c:pt idx="0">
                  <c:v>0.21000000000000021</c:v>
                </c:pt>
                <c:pt idx="1">
                  <c:v>0.29000000000000031</c:v>
                </c:pt>
                <c:pt idx="2">
                  <c:v>0.29500000000000032</c:v>
                </c:pt>
                <c:pt idx="3">
                  <c:v>0.26500000000000001</c:v>
                </c:pt>
                <c:pt idx="4">
                  <c:v>0.28000000000000008</c:v>
                </c:pt>
              </c:numCache>
            </c:numRef>
          </c:val>
        </c:ser>
        <c:marker val="1"/>
        <c:axId val="97771520"/>
        <c:axId val="97773056"/>
      </c:lineChart>
      <c:catAx>
        <c:axId val="97771520"/>
        <c:scaling>
          <c:orientation val="minMax"/>
        </c:scaling>
        <c:axPos val="b"/>
        <c:numFmt formatCode="General" sourceLinked="1"/>
        <c:tickLblPos val="nextTo"/>
        <c:txPr>
          <a:bodyPr rot="0" vert="horz"/>
          <a:lstStyle/>
          <a:p>
            <a:pPr>
              <a:defRPr/>
            </a:pPr>
            <a:endParaRPr lang="ru-RU"/>
          </a:p>
        </c:txPr>
        <c:crossAx val="97773056"/>
        <c:crosses val="autoZero"/>
        <c:auto val="1"/>
        <c:lblAlgn val="ctr"/>
        <c:lblOffset val="100"/>
        <c:tickLblSkip val="1"/>
        <c:tickMarkSkip val="1"/>
      </c:catAx>
      <c:valAx>
        <c:axId val="97773056"/>
        <c:scaling>
          <c:orientation val="minMax"/>
          <c:max val="0.4"/>
        </c:scaling>
        <c:axPos val="l"/>
        <c:majorGridlines/>
        <c:numFmt formatCode="0.0%" sourceLinked="1"/>
        <c:tickLblPos val="nextTo"/>
        <c:txPr>
          <a:bodyPr rot="0" vert="horz"/>
          <a:lstStyle/>
          <a:p>
            <a:pPr>
              <a:defRPr/>
            </a:pPr>
            <a:endParaRPr lang="ru-RU"/>
          </a:p>
        </c:txPr>
        <c:crossAx val="97771520"/>
        <c:crosses val="autoZero"/>
        <c:crossBetween val="between"/>
        <c:majorUnit val="0.1"/>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plotArea>
      <c:layout/>
      <c:barChart>
        <c:barDir val="col"/>
        <c:grouping val="stacked"/>
        <c:ser>
          <c:idx val="0"/>
          <c:order val="0"/>
          <c:tx>
            <c:v>Стабилизационный фонд</c:v>
          </c:tx>
          <c:dLbls>
            <c:txPr>
              <a:bodyPr/>
              <a:lstStyle/>
              <a:p>
                <a:pPr>
                  <a:defRPr b="1"/>
                </a:pPr>
                <a:endParaRPr lang="ru-RU"/>
              </a:p>
            </c:txPr>
            <c:showVal val="1"/>
          </c:dLbls>
          <c:cat>
            <c:numRef>
              <c:f>Лист1!$A$1:$A$9</c:f>
              <c:numCache>
                <c:formatCode>General</c:formatCode>
                <c:ptCount val="9"/>
                <c:pt idx="0">
                  <c:v>2004</c:v>
                </c:pt>
                <c:pt idx="1">
                  <c:v>2005</c:v>
                </c:pt>
                <c:pt idx="2">
                  <c:v>2006</c:v>
                </c:pt>
                <c:pt idx="3">
                  <c:v>2007</c:v>
                </c:pt>
                <c:pt idx="4">
                  <c:v>2008</c:v>
                </c:pt>
                <c:pt idx="5">
                  <c:v>2009</c:v>
                </c:pt>
                <c:pt idx="6">
                  <c:v>2010</c:v>
                </c:pt>
                <c:pt idx="7">
                  <c:v>2011</c:v>
                </c:pt>
                <c:pt idx="8">
                  <c:v>2012</c:v>
                </c:pt>
              </c:numCache>
            </c:numRef>
          </c:cat>
          <c:val>
            <c:numRef>
              <c:f>Лист1!$B$1:$B$9</c:f>
              <c:numCache>
                <c:formatCode>General</c:formatCode>
                <c:ptCount val="9"/>
                <c:pt idx="0">
                  <c:v>522</c:v>
                </c:pt>
                <c:pt idx="1">
                  <c:v>1237</c:v>
                </c:pt>
                <c:pt idx="2">
                  <c:v>2347</c:v>
                </c:pt>
                <c:pt idx="3">
                  <c:v>3849</c:v>
                </c:pt>
              </c:numCache>
            </c:numRef>
          </c:val>
        </c:ser>
        <c:ser>
          <c:idx val="1"/>
          <c:order val="1"/>
          <c:tx>
            <c:v>Резервный фонд</c:v>
          </c:tx>
          <c:dLbls>
            <c:txPr>
              <a:bodyPr/>
              <a:lstStyle/>
              <a:p>
                <a:pPr>
                  <a:defRPr b="1"/>
                </a:pPr>
                <a:endParaRPr lang="ru-RU"/>
              </a:p>
            </c:txPr>
            <c:showVal val="1"/>
          </c:dLbls>
          <c:cat>
            <c:numRef>
              <c:f>Лист1!$A$1:$A$9</c:f>
              <c:numCache>
                <c:formatCode>General</c:formatCode>
                <c:ptCount val="9"/>
                <c:pt idx="0">
                  <c:v>2004</c:v>
                </c:pt>
                <c:pt idx="1">
                  <c:v>2005</c:v>
                </c:pt>
                <c:pt idx="2">
                  <c:v>2006</c:v>
                </c:pt>
                <c:pt idx="3">
                  <c:v>2007</c:v>
                </c:pt>
                <c:pt idx="4">
                  <c:v>2008</c:v>
                </c:pt>
                <c:pt idx="5">
                  <c:v>2009</c:v>
                </c:pt>
                <c:pt idx="6">
                  <c:v>2010</c:v>
                </c:pt>
                <c:pt idx="7">
                  <c:v>2011</c:v>
                </c:pt>
                <c:pt idx="8">
                  <c:v>2012</c:v>
                </c:pt>
              </c:numCache>
            </c:numRef>
          </c:cat>
          <c:val>
            <c:numRef>
              <c:f>Лист1!$C$1:$C$9</c:f>
              <c:numCache>
                <c:formatCode>General</c:formatCode>
                <c:ptCount val="9"/>
                <c:pt idx="4">
                  <c:v>4028</c:v>
                </c:pt>
                <c:pt idx="5">
                  <c:v>1831</c:v>
                </c:pt>
                <c:pt idx="6">
                  <c:v>775</c:v>
                </c:pt>
                <c:pt idx="7">
                  <c:v>812</c:v>
                </c:pt>
                <c:pt idx="8">
                  <c:v>1886</c:v>
                </c:pt>
              </c:numCache>
            </c:numRef>
          </c:val>
        </c:ser>
        <c:ser>
          <c:idx val="2"/>
          <c:order val="2"/>
          <c:tx>
            <c:v>Фонд национального благосостояния</c:v>
          </c:tx>
          <c:dLbls>
            <c:txPr>
              <a:bodyPr/>
              <a:lstStyle/>
              <a:p>
                <a:pPr>
                  <a:defRPr b="1"/>
                </a:pPr>
                <a:endParaRPr lang="ru-RU"/>
              </a:p>
            </c:txPr>
            <c:showVal val="1"/>
          </c:dLbls>
          <c:cat>
            <c:numRef>
              <c:f>Лист1!$A$1:$A$9</c:f>
              <c:numCache>
                <c:formatCode>General</c:formatCode>
                <c:ptCount val="9"/>
                <c:pt idx="0">
                  <c:v>2004</c:v>
                </c:pt>
                <c:pt idx="1">
                  <c:v>2005</c:v>
                </c:pt>
                <c:pt idx="2">
                  <c:v>2006</c:v>
                </c:pt>
                <c:pt idx="3">
                  <c:v>2007</c:v>
                </c:pt>
                <c:pt idx="4">
                  <c:v>2008</c:v>
                </c:pt>
                <c:pt idx="5">
                  <c:v>2009</c:v>
                </c:pt>
                <c:pt idx="6">
                  <c:v>2010</c:v>
                </c:pt>
                <c:pt idx="7">
                  <c:v>2011</c:v>
                </c:pt>
                <c:pt idx="8">
                  <c:v>2012</c:v>
                </c:pt>
              </c:numCache>
            </c:numRef>
          </c:cat>
          <c:val>
            <c:numRef>
              <c:f>Лист1!$D$1:$D$9</c:f>
              <c:numCache>
                <c:formatCode>General</c:formatCode>
                <c:ptCount val="9"/>
                <c:pt idx="4">
                  <c:v>2584</c:v>
                </c:pt>
                <c:pt idx="5">
                  <c:v>2769</c:v>
                </c:pt>
                <c:pt idx="6">
                  <c:v>2696</c:v>
                </c:pt>
                <c:pt idx="7">
                  <c:v>2794</c:v>
                </c:pt>
                <c:pt idx="8">
                  <c:v>2691</c:v>
                </c:pt>
              </c:numCache>
            </c:numRef>
          </c:val>
        </c:ser>
        <c:dLbls>
          <c:showVal val="1"/>
        </c:dLbls>
        <c:gapWidth val="75"/>
        <c:overlap val="100"/>
        <c:axId val="105729408"/>
        <c:axId val="105743488"/>
      </c:barChart>
      <c:lineChart>
        <c:grouping val="standard"/>
        <c:ser>
          <c:idx val="3"/>
          <c:order val="3"/>
          <c:tx>
            <c:v>Всего, % ВВП (правая шкала)</c:v>
          </c:tx>
          <c:marker>
            <c:symbol val="circle"/>
            <c:size val="9"/>
          </c:marker>
          <c:dLbls>
            <c:dLbl>
              <c:idx val="4"/>
              <c:layout>
                <c:manualLayout>
                  <c:x val="-2.2050716648291092E-3"/>
                  <c:y val="-1.0136774621986111E-2"/>
                </c:manualLayout>
              </c:layout>
              <c:showVal val="1"/>
            </c:dLbl>
            <c:dLbl>
              <c:idx val="5"/>
              <c:layout>
                <c:manualLayout>
                  <c:x val="8.0851693704736777E-17"/>
                  <c:y val="-1.3515699495981475E-2"/>
                </c:manualLayout>
              </c:layout>
              <c:showVal val="1"/>
            </c:dLbl>
            <c:dLbl>
              <c:idx val="6"/>
              <c:layout>
                <c:manualLayout>
                  <c:x val="-2.2050716648291082E-2"/>
                  <c:y val="-4.0547098487944425E-2"/>
                </c:manualLayout>
              </c:layout>
              <c:showVal val="1"/>
            </c:dLbl>
            <c:dLbl>
              <c:idx val="7"/>
              <c:layout>
                <c:manualLayout>
                  <c:x val="-3.0871003307607496E-2"/>
                  <c:y val="-5.068387310993059E-2"/>
                </c:manualLayout>
              </c:layout>
              <c:showVal val="1"/>
            </c:dLbl>
            <c:dLbl>
              <c:idx val="8"/>
              <c:layout>
                <c:manualLayout>
                  <c:x val="-2.8665931642778392E-2"/>
                  <c:y val="4.3926023361939792E-2"/>
                </c:manualLayout>
              </c:layout>
              <c:showVal val="1"/>
            </c:dLbl>
            <c:showVal val="1"/>
          </c:dLbls>
          <c:val>
            <c:numRef>
              <c:f>Лист1!$E$1:$E$9</c:f>
              <c:numCache>
                <c:formatCode>0%</c:formatCode>
                <c:ptCount val="9"/>
                <c:pt idx="0">
                  <c:v>3.0656847878351726E-2</c:v>
                </c:pt>
                <c:pt idx="1">
                  <c:v>5.7242638778794354E-2</c:v>
                </c:pt>
                <c:pt idx="2">
                  <c:v>8.7193314315772E-2</c:v>
                </c:pt>
                <c:pt idx="3">
                  <c:v>0.11576805680201432</c:v>
                </c:pt>
                <c:pt idx="4">
                  <c:v>0.16018664530425367</c:v>
                </c:pt>
                <c:pt idx="5">
                  <c:v>0.11853464816445979</c:v>
                </c:pt>
                <c:pt idx="6">
                  <c:v>7.4953775498237313E-2</c:v>
                </c:pt>
                <c:pt idx="7">
                  <c:v>6.4624150903118419E-2</c:v>
                </c:pt>
                <c:pt idx="8">
                  <c:v>7.311611699771553E-2</c:v>
                </c:pt>
              </c:numCache>
            </c:numRef>
          </c:val>
        </c:ser>
        <c:dLbls>
          <c:showVal val="1"/>
        </c:dLbls>
        <c:marker val="1"/>
        <c:axId val="105746816"/>
        <c:axId val="105745024"/>
      </c:lineChart>
      <c:catAx>
        <c:axId val="105729408"/>
        <c:scaling>
          <c:orientation val="minMax"/>
        </c:scaling>
        <c:axPos val="b"/>
        <c:numFmt formatCode="General" sourceLinked="1"/>
        <c:majorTickMark val="none"/>
        <c:tickLblPos val="nextTo"/>
        <c:crossAx val="105743488"/>
        <c:crosses val="autoZero"/>
        <c:auto val="1"/>
        <c:lblAlgn val="ctr"/>
        <c:lblOffset val="100"/>
      </c:catAx>
      <c:valAx>
        <c:axId val="105743488"/>
        <c:scaling>
          <c:orientation val="minMax"/>
        </c:scaling>
        <c:axPos val="l"/>
        <c:numFmt formatCode="General" sourceLinked="1"/>
        <c:majorTickMark val="none"/>
        <c:tickLblPos val="nextTo"/>
        <c:crossAx val="105729408"/>
        <c:crosses val="autoZero"/>
        <c:crossBetween val="between"/>
      </c:valAx>
      <c:valAx>
        <c:axId val="105745024"/>
        <c:scaling>
          <c:orientation val="minMax"/>
        </c:scaling>
        <c:axPos val="r"/>
        <c:numFmt formatCode="0%" sourceLinked="1"/>
        <c:tickLblPos val="nextTo"/>
        <c:crossAx val="105746816"/>
        <c:crosses val="max"/>
        <c:crossBetween val="between"/>
      </c:valAx>
      <c:catAx>
        <c:axId val="105746816"/>
        <c:scaling>
          <c:orientation val="minMax"/>
        </c:scaling>
        <c:delete val="1"/>
        <c:axPos val="b"/>
        <c:tickLblPos val="nextTo"/>
        <c:crossAx val="105745024"/>
        <c:crosses val="autoZero"/>
        <c:auto val="1"/>
        <c:lblAlgn val="ctr"/>
        <c:lblOffset val="100"/>
      </c:catAx>
    </c:plotArea>
    <c:legend>
      <c:legendPos val="b"/>
      <c:spPr>
        <a:ln>
          <a:solidFill>
            <a:schemeClr val="tx1"/>
          </a:solidFill>
        </a:ln>
      </c:sp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3895463348199195E-2"/>
          <c:y val="4.4291706527338423E-2"/>
          <c:w val="0.9161045366518098"/>
          <c:h val="0.65157269360021663"/>
        </c:manualLayout>
      </c:layout>
      <c:lineChart>
        <c:grouping val="standard"/>
        <c:ser>
          <c:idx val="0"/>
          <c:order val="0"/>
          <c:tx>
            <c:v>Фактическая/прогнозная цена</c:v>
          </c:tx>
          <c:spPr>
            <a:ln w="34925"/>
          </c:spPr>
          <c:marker>
            <c:symbol val="circle"/>
            <c:size val="7"/>
            <c:spPr>
              <a:ln cap="rnd"/>
            </c:spPr>
          </c:marker>
          <c:dLbls>
            <c:dLbl>
              <c:idx val="1"/>
              <c:layout>
                <c:manualLayout>
                  <c:x val="0"/>
                  <c:y val="4.9844236760124623E-2"/>
                </c:manualLayout>
              </c:layout>
              <c:dLblPos val="t"/>
              <c:showVal val="1"/>
            </c:dLbl>
            <c:dLbl>
              <c:idx val="3"/>
              <c:layout>
                <c:manualLayout>
                  <c:x val="-1.5433800022048265E-2"/>
                  <c:y val="4.7767393561786123E-2"/>
                </c:manualLayout>
              </c:layout>
              <c:dLblPos val="t"/>
              <c:showVal val="1"/>
            </c:dLbl>
            <c:dLbl>
              <c:idx val="5"/>
              <c:layout>
                <c:manualLayout>
                  <c:x val="1.7638628596626616E-2"/>
                  <c:y val="4.569055036344756E-2"/>
                </c:manualLayout>
              </c:layout>
              <c:dLblPos val="t"/>
              <c:showVal val="1"/>
            </c:dLbl>
            <c:dLbl>
              <c:idx val="8"/>
              <c:layout>
                <c:manualLayout>
                  <c:x val="2.2048285745783292E-3"/>
                  <c:y val="4.5690550363447477E-2"/>
                </c:manualLayout>
              </c:layout>
              <c:dLblPos val="t"/>
              <c:showVal val="1"/>
            </c:dLbl>
            <c:dLbl>
              <c:idx val="9"/>
              <c:layout>
                <c:manualLayout>
                  <c:x val="-4.409657149156726E-3"/>
                  <c:y val="1.2461059190031223E-2"/>
                </c:manualLayout>
              </c:layout>
              <c:dLblPos val="t"/>
              <c:showVal val="1"/>
            </c:dLbl>
            <c:dLbl>
              <c:idx val="10"/>
              <c:layout>
                <c:manualLayout>
                  <c:x val="-1.1024142872891616E-2"/>
                  <c:y val="0"/>
                </c:manualLayout>
              </c:layout>
              <c:dLblPos val="t"/>
              <c:showVal val="1"/>
            </c:dLbl>
            <c:dLbl>
              <c:idx val="11"/>
              <c:layout>
                <c:manualLayout>
                  <c:x val="-1.9843457171204937E-2"/>
                  <c:y val="6.2305295950156681E-3"/>
                </c:manualLayout>
              </c:layout>
              <c:dLblPos val="t"/>
              <c:showVal val="1"/>
            </c:dLbl>
            <c:dLbl>
              <c:idx val="12"/>
              <c:layout>
                <c:manualLayout>
                  <c:x val="-1.3228971447470124E-2"/>
                  <c:y val="0"/>
                </c:manualLayout>
              </c:layout>
              <c:dLblPos val="t"/>
              <c:showVal val="1"/>
            </c:dLbl>
            <c:dLbl>
              <c:idx val="13"/>
              <c:layout>
                <c:manualLayout>
                  <c:x val="-1.5433800022048291E-2"/>
                  <c:y val="0"/>
                </c:manualLayout>
              </c:layout>
              <c:dLblPos val="t"/>
              <c:showVal val="1"/>
            </c:dLbl>
            <c:dLbl>
              <c:idx val="15"/>
              <c:layout>
                <c:manualLayout>
                  <c:x val="8.0842780498508733E-17"/>
                  <c:y val="-1.2461059190031223E-2"/>
                </c:manualLayout>
              </c:layout>
              <c:dLblPos val="t"/>
              <c:showVal val="1"/>
            </c:dLbl>
            <c:dLbl>
              <c:idx val="18"/>
              <c:layout>
                <c:manualLayout>
                  <c:x val="1.7638628596626616E-2"/>
                  <c:y val="0"/>
                </c:manualLayout>
              </c:layout>
              <c:dLblPos val="t"/>
              <c:showVal val="1"/>
            </c:dLbl>
            <c:txPr>
              <a:bodyPr anchor="t" anchorCtr="1"/>
              <a:lstStyle/>
              <a:p>
                <a:pPr>
                  <a:defRPr sz="800"/>
                </a:pPr>
                <a:endParaRPr lang="ru-RU"/>
              </a:p>
            </c:txPr>
            <c:dLblPos val="t"/>
            <c:showVal val="1"/>
          </c:dLbls>
          <c:cat>
            <c:numRef>
              <c:f>Лист1!$A$2:$A$28</c:f>
              <c:numCache>
                <c:formatCode>General</c:formatCode>
                <c:ptCount val="2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numCache>
            </c:numRef>
          </c:cat>
          <c:val>
            <c:numRef>
              <c:f>Лист1!$B$2:$B$28</c:f>
              <c:numCache>
                <c:formatCode>0.0</c:formatCode>
                <c:ptCount val="27"/>
                <c:pt idx="0">
                  <c:v>15.2</c:v>
                </c:pt>
                <c:pt idx="1">
                  <c:v>16.600000000000001</c:v>
                </c:pt>
                <c:pt idx="2">
                  <c:v>20.100000000000001</c:v>
                </c:pt>
                <c:pt idx="3">
                  <c:v>18.3</c:v>
                </c:pt>
                <c:pt idx="4">
                  <c:v>11.8</c:v>
                </c:pt>
                <c:pt idx="5">
                  <c:v>17.100000000000001</c:v>
                </c:pt>
                <c:pt idx="6">
                  <c:v>26.7</c:v>
                </c:pt>
                <c:pt idx="7">
                  <c:v>23</c:v>
                </c:pt>
                <c:pt idx="8">
                  <c:v>23.7</c:v>
                </c:pt>
                <c:pt idx="9">
                  <c:v>27.2</c:v>
                </c:pt>
                <c:pt idx="10">
                  <c:v>34.4</c:v>
                </c:pt>
                <c:pt idx="11">
                  <c:v>50.6</c:v>
                </c:pt>
                <c:pt idx="12">
                  <c:v>61.1</c:v>
                </c:pt>
                <c:pt idx="13">
                  <c:v>69.3</c:v>
                </c:pt>
                <c:pt idx="14">
                  <c:v>94.4</c:v>
                </c:pt>
                <c:pt idx="15">
                  <c:v>61.1</c:v>
                </c:pt>
                <c:pt idx="16">
                  <c:v>78.2</c:v>
                </c:pt>
                <c:pt idx="17">
                  <c:v>109.3</c:v>
                </c:pt>
                <c:pt idx="18">
                  <c:v>109</c:v>
                </c:pt>
                <c:pt idx="19">
                  <c:v>97</c:v>
                </c:pt>
                <c:pt idx="20">
                  <c:v>101</c:v>
                </c:pt>
                <c:pt idx="21">
                  <c:v>104</c:v>
                </c:pt>
                <c:pt idx="22">
                  <c:v>107</c:v>
                </c:pt>
                <c:pt idx="23">
                  <c:v>111</c:v>
                </c:pt>
                <c:pt idx="24">
                  <c:v>115</c:v>
                </c:pt>
                <c:pt idx="25">
                  <c:v>118</c:v>
                </c:pt>
                <c:pt idx="26">
                  <c:v>122</c:v>
                </c:pt>
              </c:numCache>
            </c:numRef>
          </c:val>
        </c:ser>
        <c:ser>
          <c:idx val="1"/>
          <c:order val="1"/>
          <c:tx>
            <c:v>Базовая цена при введении правил с 2004 г.</c:v>
          </c:tx>
          <c:spPr>
            <a:ln w="34925"/>
          </c:spPr>
          <c:marker>
            <c:symbol val="circle"/>
            <c:size val="7"/>
          </c:marker>
          <c:dLbls>
            <c:txPr>
              <a:bodyPr anchor="b" anchorCtr="1"/>
              <a:lstStyle/>
              <a:p>
                <a:pPr>
                  <a:defRPr sz="800"/>
                </a:pPr>
                <a:endParaRPr lang="ru-RU"/>
              </a:p>
            </c:txPr>
            <c:dLblPos val="b"/>
            <c:showVal val="1"/>
          </c:dLbls>
          <c:cat>
            <c:numRef>
              <c:f>Лист1!$A$2:$A$28</c:f>
              <c:numCache>
                <c:formatCode>General</c:formatCode>
                <c:ptCount val="2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numCache>
            </c:numRef>
          </c:cat>
          <c:val>
            <c:numRef>
              <c:f>Лист1!$D$2:$D$28</c:f>
              <c:numCache>
                <c:formatCode>General</c:formatCode>
                <c:ptCount val="27"/>
                <c:pt idx="10" formatCode="0.0">
                  <c:v>23.540000000000003</c:v>
                </c:pt>
                <c:pt idx="11" formatCode="0.0">
                  <c:v>25.349999999999987</c:v>
                </c:pt>
                <c:pt idx="12" formatCode="0.0">
                  <c:v>28.957142857142689</c:v>
                </c:pt>
                <c:pt idx="13" formatCode="0.0">
                  <c:v>32.975000000000001</c:v>
                </c:pt>
                <c:pt idx="14" formatCode="0.0">
                  <c:v>37.011111111111106</c:v>
                </c:pt>
                <c:pt idx="15" formatCode="0.0">
                  <c:v>42.75</c:v>
                </c:pt>
                <c:pt idx="16" formatCode="0.0">
                  <c:v>47.15</c:v>
                </c:pt>
                <c:pt idx="17" formatCode="0.0">
                  <c:v>52.3</c:v>
                </c:pt>
                <c:pt idx="18" formatCode="0.0">
                  <c:v>60.930000000000007</c:v>
                </c:pt>
                <c:pt idx="19" formatCode="0.0">
                  <c:v>69.460000000000022</c:v>
                </c:pt>
                <c:pt idx="20" formatCode="0.0">
                  <c:v>76.440000000000026</c:v>
                </c:pt>
                <c:pt idx="21" formatCode="0.0">
                  <c:v>83.1</c:v>
                </c:pt>
                <c:pt idx="22" formatCode="0.0">
                  <c:v>88.440000000000026</c:v>
                </c:pt>
                <c:pt idx="23" formatCode="0.0">
                  <c:v>93.03</c:v>
                </c:pt>
                <c:pt idx="24" formatCode="0.0">
                  <c:v>97.2</c:v>
                </c:pt>
                <c:pt idx="25" formatCode="0.0">
                  <c:v>99.26</c:v>
                </c:pt>
                <c:pt idx="26" formatCode="0.0">
                  <c:v>104.95</c:v>
                </c:pt>
              </c:numCache>
            </c:numRef>
          </c:val>
        </c:ser>
        <c:ser>
          <c:idx val="2"/>
          <c:order val="2"/>
          <c:tx>
            <c:v>Базовая цена при введении правил с 2008 г.</c:v>
          </c:tx>
          <c:spPr>
            <a:ln w="34925"/>
          </c:spPr>
          <c:marker>
            <c:symbol val="circle"/>
            <c:size val="7"/>
          </c:marker>
          <c:dLbls>
            <c:dLbl>
              <c:idx val="14"/>
              <c:layout>
                <c:manualLayout>
                  <c:x val="-3.7482085767831595E-2"/>
                  <c:y val="2.6998961578400846E-2"/>
                </c:manualLayout>
              </c:layout>
              <c:dLblPos val="t"/>
              <c:showVal val="1"/>
            </c:dLbl>
            <c:dLbl>
              <c:idx val="15"/>
              <c:layout>
                <c:manualLayout>
                  <c:x val="-3.3072428618674841E-2"/>
                  <c:y val="2.4922118380062312E-2"/>
                </c:manualLayout>
              </c:layout>
              <c:dLblPos val="t"/>
              <c:showVal val="1"/>
            </c:dLbl>
            <c:dLbl>
              <c:idx val="16"/>
              <c:layout>
                <c:manualLayout>
                  <c:x val="0"/>
                  <c:y val="6.2305295950156681E-3"/>
                </c:manualLayout>
              </c:layout>
              <c:dLblPos val="t"/>
              <c:showVal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txPr>
              <a:bodyPr/>
              <a:lstStyle/>
              <a:p>
                <a:pPr>
                  <a:defRPr sz="800"/>
                </a:pPr>
                <a:endParaRPr lang="ru-RU"/>
              </a:p>
            </c:txPr>
            <c:dLblPos val="t"/>
            <c:showVal val="1"/>
          </c:dLbls>
          <c:cat>
            <c:numRef>
              <c:f>Лист1!$A$2:$A$28</c:f>
              <c:numCache>
                <c:formatCode>General</c:formatCode>
                <c:ptCount val="2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numCache>
            </c:numRef>
          </c:cat>
          <c:val>
            <c:numRef>
              <c:f>Лист1!$E$2:$E$28</c:f>
              <c:numCache>
                <c:formatCode>General</c:formatCode>
                <c:ptCount val="27"/>
                <c:pt idx="14" formatCode="0.0">
                  <c:v>48.52</c:v>
                </c:pt>
                <c:pt idx="15" formatCode="0.0">
                  <c:v>56.166666666666025</c:v>
                </c:pt>
                <c:pt idx="16" formatCode="0.0">
                  <c:v>56.871428571428034</c:v>
                </c:pt>
                <c:pt idx="17" formatCode="0.0">
                  <c:v>59.537500000000001</c:v>
                </c:pt>
                <c:pt idx="18" formatCode="0.0">
                  <c:v>65.066666666666663</c:v>
                </c:pt>
                <c:pt idx="19" formatCode="0.0">
                  <c:v>69.460000000000022</c:v>
                </c:pt>
                <c:pt idx="20" formatCode="0.0">
                  <c:v>76.440000000000026</c:v>
                </c:pt>
                <c:pt idx="21" formatCode="0.0">
                  <c:v>83.1</c:v>
                </c:pt>
                <c:pt idx="22" formatCode="0.0">
                  <c:v>88.440000000000026</c:v>
                </c:pt>
                <c:pt idx="23" formatCode="0.0">
                  <c:v>93.03</c:v>
                </c:pt>
                <c:pt idx="24" formatCode="0.0">
                  <c:v>97.2</c:v>
                </c:pt>
                <c:pt idx="25" formatCode="0.0">
                  <c:v>99.26</c:v>
                </c:pt>
                <c:pt idx="26" formatCode="0.0">
                  <c:v>104.95</c:v>
                </c:pt>
              </c:numCache>
            </c:numRef>
          </c:val>
        </c:ser>
        <c:dLbls>
          <c:showVal val="1"/>
        </c:dLbls>
        <c:marker val="1"/>
        <c:axId val="107375616"/>
        <c:axId val="107401984"/>
      </c:lineChart>
      <c:dateAx>
        <c:axId val="107375616"/>
        <c:scaling>
          <c:orientation val="minMax"/>
        </c:scaling>
        <c:axPos val="b"/>
        <c:numFmt formatCode="General" sourceLinked="1"/>
        <c:majorTickMark val="none"/>
        <c:tickLblPos val="nextTo"/>
        <c:txPr>
          <a:bodyPr rot="-5400000" vert="horz"/>
          <a:lstStyle/>
          <a:p>
            <a:pPr>
              <a:defRPr/>
            </a:pPr>
            <a:endParaRPr lang="ru-RU"/>
          </a:p>
        </c:txPr>
        <c:crossAx val="107401984"/>
        <c:crosses val="autoZero"/>
        <c:lblOffset val="100"/>
        <c:baseTimeUnit val="days"/>
      </c:dateAx>
      <c:valAx>
        <c:axId val="107401984"/>
        <c:scaling>
          <c:orientation val="minMax"/>
        </c:scaling>
        <c:axPos val="l"/>
        <c:majorGridlines/>
        <c:numFmt formatCode="0.0" sourceLinked="1"/>
        <c:majorTickMark val="none"/>
        <c:tickLblPos val="nextTo"/>
        <c:spPr>
          <a:ln w="9525">
            <a:solidFill>
              <a:schemeClr val="tx1"/>
            </a:solidFill>
          </a:ln>
        </c:spPr>
        <c:txPr>
          <a:bodyPr rot="0" vert="horz"/>
          <a:lstStyle/>
          <a:p>
            <a:pPr>
              <a:defRPr/>
            </a:pPr>
            <a:endParaRPr lang="ru-RU"/>
          </a:p>
        </c:txPr>
        <c:crossAx val="107375616"/>
        <c:crosses val="autoZero"/>
        <c:crossBetween val="between"/>
      </c:valAx>
    </c:plotArea>
    <c:legend>
      <c:legendPos val="b"/>
      <c:layout>
        <c:manualLayout>
          <c:xMode val="edge"/>
          <c:yMode val="edge"/>
          <c:x val="0.22616515910717774"/>
          <c:y val="0.81620251674148203"/>
          <c:w val="0.532242511008438"/>
          <c:h val="0.15575415405770324"/>
        </c:manualLayout>
      </c:layout>
      <c:spPr>
        <a:ln w="6350">
          <a:solidFill>
            <a:sysClr val="windowText" lastClr="000000"/>
          </a:solidFill>
        </a:ln>
      </c:spPr>
    </c:legend>
    <c:plotVisOnly val="1"/>
    <c:dispBlanksAs val="gap"/>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6E7DA5-F734-4F32-951D-58923AD6153C}" type="doc">
      <dgm:prSet loTypeId="urn:microsoft.com/office/officeart/2005/8/layout/orgChart1" loCatId="hierarchy" qsTypeId="urn:microsoft.com/office/officeart/2005/8/quickstyle/simple3" qsCatId="simple" csTypeId="urn:microsoft.com/office/officeart/2005/8/colors/accent1_5" csCatId="accent1" phldr="1"/>
      <dgm:spPr/>
      <dgm:t>
        <a:bodyPr/>
        <a:lstStyle/>
        <a:p>
          <a:endParaRPr lang="ru-RU"/>
        </a:p>
      </dgm:t>
    </dgm:pt>
    <dgm:pt modelId="{87CB39FE-89EE-4114-A662-366088A431C0}">
      <dgm:prSet phldrT="[Текст]" custT="1"/>
      <dgm:spPr/>
      <dgm:t>
        <a:bodyPr/>
        <a:lstStyle/>
        <a:p>
          <a:r>
            <a:rPr lang="ru-RU" sz="1000" b="0"/>
            <a:t>Нефтегазовые доходы</a:t>
          </a:r>
        </a:p>
      </dgm:t>
    </dgm:pt>
    <dgm:pt modelId="{7432ACF6-393A-476E-B1C9-F628A0E0A5EB}" type="parTrans" cxnId="{D10C9622-81C9-4C26-9916-731AA931FD70}">
      <dgm:prSet/>
      <dgm:spPr/>
      <dgm:t>
        <a:bodyPr/>
        <a:lstStyle/>
        <a:p>
          <a:endParaRPr lang="ru-RU"/>
        </a:p>
      </dgm:t>
    </dgm:pt>
    <dgm:pt modelId="{CB11EBE8-8300-46BB-9726-8D2FEFEB6B4C}" type="sibTrans" cxnId="{D10C9622-81C9-4C26-9916-731AA931FD70}">
      <dgm:prSet/>
      <dgm:spPr/>
      <dgm:t>
        <a:bodyPr/>
        <a:lstStyle/>
        <a:p>
          <a:endParaRPr lang="ru-RU"/>
        </a:p>
      </dgm:t>
    </dgm:pt>
    <dgm:pt modelId="{42E3B892-F25C-426E-9390-0648B13CB4C5}">
      <dgm:prSet phldrT="[Текст]" custT="1"/>
      <dgm:spPr/>
      <dgm:t>
        <a:bodyPr/>
        <a:lstStyle/>
        <a:p>
          <a:r>
            <a:rPr lang="ru-RU" sz="1000" b="0"/>
            <a:t>Нефтегазовый трансферт </a:t>
          </a:r>
        </a:p>
        <a:p>
          <a:r>
            <a:rPr lang="ru-RU" sz="1000" b="0"/>
            <a:t>(3,7% ВВП)</a:t>
          </a:r>
        </a:p>
      </dgm:t>
    </dgm:pt>
    <dgm:pt modelId="{297B19D6-CF52-4C5B-B93F-2BCE648CABA0}" type="sibTrans" cxnId="{0C90B157-979B-4FFC-9EF0-C125AFDA421C}">
      <dgm:prSet/>
      <dgm:spPr/>
      <dgm:t>
        <a:bodyPr/>
        <a:lstStyle/>
        <a:p>
          <a:endParaRPr lang="ru-RU"/>
        </a:p>
      </dgm:t>
    </dgm:pt>
    <dgm:pt modelId="{2E166ABC-46C1-4F69-A174-0F0C3B63974A}" type="parTrans" cxnId="{0C90B157-979B-4FFC-9EF0-C125AFDA421C}">
      <dgm:prSet/>
      <dgm:spPr/>
      <dgm:t>
        <a:bodyPr/>
        <a:lstStyle/>
        <a:p>
          <a:endParaRPr lang="ru-RU"/>
        </a:p>
      </dgm:t>
    </dgm:pt>
    <dgm:pt modelId="{90664D86-F9C4-49CF-B1D5-2682F6BDCE2F}">
      <dgm:prSet phldrT="[Текст]" custT="1"/>
      <dgm:spPr/>
      <dgm:t>
        <a:bodyPr/>
        <a:lstStyle/>
        <a:p>
          <a:r>
            <a:rPr lang="ru-RU" sz="1000" b="0"/>
            <a:t>Резервный фонд</a:t>
          </a:r>
        </a:p>
        <a:p>
          <a:r>
            <a:rPr lang="ru-RU" sz="1000" b="0"/>
            <a:t>(до 10% ВВП)</a:t>
          </a:r>
        </a:p>
      </dgm:t>
    </dgm:pt>
    <dgm:pt modelId="{D0F5FEA1-742C-4499-9090-D4289306309A}" type="parTrans" cxnId="{9C0B7AB8-61F1-48EA-92BD-48CE58F10C31}">
      <dgm:prSet/>
      <dgm:spPr/>
      <dgm:t>
        <a:bodyPr/>
        <a:lstStyle/>
        <a:p>
          <a:endParaRPr lang="ru-RU"/>
        </a:p>
      </dgm:t>
    </dgm:pt>
    <dgm:pt modelId="{7C7E4891-9D59-4E4C-B6AD-876CFDCAE313}" type="sibTrans" cxnId="{9C0B7AB8-61F1-48EA-92BD-48CE58F10C31}">
      <dgm:prSet/>
      <dgm:spPr/>
      <dgm:t>
        <a:bodyPr/>
        <a:lstStyle/>
        <a:p>
          <a:endParaRPr lang="ru-RU"/>
        </a:p>
      </dgm:t>
    </dgm:pt>
    <dgm:pt modelId="{156A53F3-0989-4A05-B4C0-A2A10338878C}">
      <dgm:prSet phldrT="[Текст]" custT="1"/>
      <dgm:spPr/>
      <dgm:t>
        <a:bodyPr/>
        <a:lstStyle/>
        <a:p>
          <a:r>
            <a:rPr lang="ru-RU" sz="1000" b="0"/>
            <a:t>Фонд национального благосостояния</a:t>
          </a:r>
        </a:p>
      </dgm:t>
    </dgm:pt>
    <dgm:pt modelId="{D5F2FC93-076E-44C3-87DD-65C6792F39B9}" type="parTrans" cxnId="{4579BCCE-1164-4163-986F-89ED44D2A773}">
      <dgm:prSet/>
      <dgm:spPr/>
      <dgm:t>
        <a:bodyPr/>
        <a:lstStyle/>
        <a:p>
          <a:endParaRPr lang="ru-RU"/>
        </a:p>
      </dgm:t>
    </dgm:pt>
    <dgm:pt modelId="{9618B832-3E1D-48D0-8588-F5D00772875F}" type="sibTrans" cxnId="{4579BCCE-1164-4163-986F-89ED44D2A773}">
      <dgm:prSet/>
      <dgm:spPr/>
      <dgm:t>
        <a:bodyPr/>
        <a:lstStyle/>
        <a:p>
          <a:endParaRPr lang="ru-RU"/>
        </a:p>
      </dgm:t>
    </dgm:pt>
    <dgm:pt modelId="{957C3120-BAC1-46A9-9037-8D44879FC1E0}">
      <dgm:prSet phldrT="[Текст]" custT="1"/>
      <dgm:spPr/>
      <dgm:t>
        <a:bodyPr/>
        <a:lstStyle/>
        <a:p>
          <a:r>
            <a:rPr lang="ru-RU" sz="1000" b="0"/>
            <a:t>Доходы от управления средствами фонда</a:t>
          </a:r>
        </a:p>
      </dgm:t>
    </dgm:pt>
    <dgm:pt modelId="{07816E21-F28B-4795-ADF4-9013FAF5A541}" type="parTrans" cxnId="{A6554DCE-9E22-4DEF-B405-64D0DF704A05}">
      <dgm:prSet/>
      <dgm:spPr/>
      <dgm:t>
        <a:bodyPr/>
        <a:lstStyle/>
        <a:p>
          <a:endParaRPr lang="ru-RU"/>
        </a:p>
      </dgm:t>
    </dgm:pt>
    <dgm:pt modelId="{B84378E2-35EE-4041-AECB-B4752F0F4F5E}" type="sibTrans" cxnId="{A6554DCE-9E22-4DEF-B405-64D0DF704A05}">
      <dgm:prSet/>
      <dgm:spPr/>
      <dgm:t>
        <a:bodyPr/>
        <a:lstStyle/>
        <a:p>
          <a:endParaRPr lang="ru-RU"/>
        </a:p>
      </dgm:t>
    </dgm:pt>
    <dgm:pt modelId="{6598B3C6-3B24-40ED-A34A-D98175F36DC7}">
      <dgm:prSet phldrT="[Текст]" custT="1"/>
      <dgm:spPr/>
      <dgm:t>
        <a:bodyPr/>
        <a:lstStyle/>
        <a:p>
          <a:r>
            <a:rPr lang="ru-RU" sz="1000" b="0"/>
            <a:t>Доходы от управления средствами фонда</a:t>
          </a:r>
        </a:p>
      </dgm:t>
    </dgm:pt>
    <dgm:pt modelId="{4C4196C7-C8BF-4AF5-927F-707616C76B96}" type="parTrans" cxnId="{1FFA6642-45BB-4954-8D18-E57477DDA3E3}">
      <dgm:prSet/>
      <dgm:spPr/>
      <dgm:t>
        <a:bodyPr/>
        <a:lstStyle/>
        <a:p>
          <a:endParaRPr lang="ru-RU"/>
        </a:p>
      </dgm:t>
    </dgm:pt>
    <dgm:pt modelId="{6B5917C3-52C9-46E6-86D7-23ED12EACCB0}" type="sibTrans" cxnId="{1FFA6642-45BB-4954-8D18-E57477DDA3E3}">
      <dgm:prSet/>
      <dgm:spPr/>
      <dgm:t>
        <a:bodyPr/>
        <a:lstStyle/>
        <a:p>
          <a:endParaRPr lang="ru-RU"/>
        </a:p>
      </dgm:t>
    </dgm:pt>
    <dgm:pt modelId="{5EFAA0FD-39A3-4DA5-AEE1-8AEFBDD2B391}" type="pres">
      <dgm:prSet presAssocID="{696E7DA5-F734-4F32-951D-58923AD6153C}" presName="hierChild1" presStyleCnt="0">
        <dgm:presLayoutVars>
          <dgm:orgChart val="1"/>
          <dgm:chPref val="1"/>
          <dgm:dir/>
          <dgm:animOne val="branch"/>
          <dgm:animLvl val="lvl"/>
          <dgm:resizeHandles/>
        </dgm:presLayoutVars>
      </dgm:prSet>
      <dgm:spPr/>
      <dgm:t>
        <a:bodyPr/>
        <a:lstStyle/>
        <a:p>
          <a:endParaRPr lang="ru-RU"/>
        </a:p>
      </dgm:t>
    </dgm:pt>
    <dgm:pt modelId="{E77EFA50-88B6-40EC-A3BA-9B1980222816}" type="pres">
      <dgm:prSet presAssocID="{87CB39FE-89EE-4114-A662-366088A431C0}" presName="hierRoot1" presStyleCnt="0">
        <dgm:presLayoutVars>
          <dgm:hierBranch val="l"/>
        </dgm:presLayoutVars>
      </dgm:prSet>
      <dgm:spPr/>
    </dgm:pt>
    <dgm:pt modelId="{0CC12C84-EB41-4F50-A822-569D4FB7ADBE}" type="pres">
      <dgm:prSet presAssocID="{87CB39FE-89EE-4114-A662-366088A431C0}" presName="rootComposite1" presStyleCnt="0"/>
      <dgm:spPr/>
    </dgm:pt>
    <dgm:pt modelId="{15C41227-D635-4283-8CFE-87D83E993301}" type="pres">
      <dgm:prSet presAssocID="{87CB39FE-89EE-4114-A662-366088A431C0}" presName="rootText1" presStyleLbl="node0" presStyleIdx="0" presStyleCnt="1" custScaleX="313845" custScaleY="313845" custLinFactNeighborX="24422" custLinFactNeighborY="-144">
        <dgm:presLayoutVars>
          <dgm:chPref val="3"/>
        </dgm:presLayoutVars>
      </dgm:prSet>
      <dgm:spPr/>
      <dgm:t>
        <a:bodyPr/>
        <a:lstStyle/>
        <a:p>
          <a:endParaRPr lang="ru-RU"/>
        </a:p>
      </dgm:t>
    </dgm:pt>
    <dgm:pt modelId="{D19BA056-91AF-46F9-AF43-5FFAB62C94A0}" type="pres">
      <dgm:prSet presAssocID="{87CB39FE-89EE-4114-A662-366088A431C0}" presName="rootConnector1" presStyleLbl="node1" presStyleIdx="0" presStyleCnt="0"/>
      <dgm:spPr/>
      <dgm:t>
        <a:bodyPr/>
        <a:lstStyle/>
        <a:p>
          <a:endParaRPr lang="ru-RU"/>
        </a:p>
      </dgm:t>
    </dgm:pt>
    <dgm:pt modelId="{B0110050-683F-4B46-9771-AA5EEB660555}" type="pres">
      <dgm:prSet presAssocID="{87CB39FE-89EE-4114-A662-366088A431C0}" presName="hierChild2" presStyleCnt="0"/>
      <dgm:spPr/>
    </dgm:pt>
    <dgm:pt modelId="{106F0D42-7341-40E8-94AF-6FD333526F40}" type="pres">
      <dgm:prSet presAssocID="{2E166ABC-46C1-4F69-A174-0F0C3B63974A}" presName="Name50" presStyleLbl="parChTrans1D2" presStyleIdx="0" presStyleCnt="3"/>
      <dgm:spPr/>
      <dgm:t>
        <a:bodyPr/>
        <a:lstStyle/>
        <a:p>
          <a:endParaRPr lang="ru-RU"/>
        </a:p>
      </dgm:t>
    </dgm:pt>
    <dgm:pt modelId="{8C3D03C7-8049-4B1D-9DA7-F962F3E5E14A}" type="pres">
      <dgm:prSet presAssocID="{42E3B892-F25C-426E-9390-0648B13CB4C5}" presName="hierRoot2" presStyleCnt="0">
        <dgm:presLayoutVars>
          <dgm:hierBranch val="init"/>
        </dgm:presLayoutVars>
      </dgm:prSet>
      <dgm:spPr/>
    </dgm:pt>
    <dgm:pt modelId="{0FF130D3-4795-4289-949E-9716854F416F}" type="pres">
      <dgm:prSet presAssocID="{42E3B892-F25C-426E-9390-0648B13CB4C5}" presName="rootComposite" presStyleCnt="0"/>
      <dgm:spPr/>
    </dgm:pt>
    <dgm:pt modelId="{D654ABED-C455-4D98-ADF2-6DF88499ABE0}" type="pres">
      <dgm:prSet presAssocID="{42E3B892-F25C-426E-9390-0648B13CB4C5}" presName="rootText" presStyleLbl="node2" presStyleIdx="0" presStyleCnt="3" custScaleX="313845" custScaleY="313845" custLinFactNeighborX="-57082" custLinFactNeighborY="26052">
        <dgm:presLayoutVars>
          <dgm:chPref val="3"/>
        </dgm:presLayoutVars>
      </dgm:prSet>
      <dgm:spPr/>
      <dgm:t>
        <a:bodyPr/>
        <a:lstStyle/>
        <a:p>
          <a:endParaRPr lang="ru-RU"/>
        </a:p>
      </dgm:t>
    </dgm:pt>
    <dgm:pt modelId="{3FAB956E-8991-4A20-90DC-C22A06F895E8}" type="pres">
      <dgm:prSet presAssocID="{42E3B892-F25C-426E-9390-0648B13CB4C5}" presName="rootConnector" presStyleLbl="node2" presStyleIdx="0" presStyleCnt="3"/>
      <dgm:spPr/>
      <dgm:t>
        <a:bodyPr/>
        <a:lstStyle/>
        <a:p>
          <a:endParaRPr lang="ru-RU"/>
        </a:p>
      </dgm:t>
    </dgm:pt>
    <dgm:pt modelId="{F12C5387-F407-4417-8837-C6D7891BAE8E}" type="pres">
      <dgm:prSet presAssocID="{42E3B892-F25C-426E-9390-0648B13CB4C5}" presName="hierChild4" presStyleCnt="0"/>
      <dgm:spPr/>
    </dgm:pt>
    <dgm:pt modelId="{182DE499-D020-4D77-BAE2-8FE1C39021BB}" type="pres">
      <dgm:prSet presAssocID="{42E3B892-F25C-426E-9390-0648B13CB4C5}" presName="hierChild5" presStyleCnt="0"/>
      <dgm:spPr/>
    </dgm:pt>
    <dgm:pt modelId="{015AA9FA-1289-4B7D-B792-684987025719}" type="pres">
      <dgm:prSet presAssocID="{D0F5FEA1-742C-4499-9090-D4289306309A}" presName="Name50" presStyleLbl="parChTrans1D2" presStyleIdx="1" presStyleCnt="3"/>
      <dgm:spPr/>
      <dgm:t>
        <a:bodyPr/>
        <a:lstStyle/>
        <a:p>
          <a:endParaRPr lang="ru-RU"/>
        </a:p>
      </dgm:t>
    </dgm:pt>
    <dgm:pt modelId="{472CA005-FC52-4ABA-99D8-862EFFA03780}" type="pres">
      <dgm:prSet presAssocID="{90664D86-F9C4-49CF-B1D5-2682F6BDCE2F}" presName="hierRoot2" presStyleCnt="0">
        <dgm:presLayoutVars>
          <dgm:hierBranch val="init"/>
        </dgm:presLayoutVars>
      </dgm:prSet>
      <dgm:spPr/>
    </dgm:pt>
    <dgm:pt modelId="{3E362B78-BDC8-41C3-B624-662FF2045656}" type="pres">
      <dgm:prSet presAssocID="{90664D86-F9C4-49CF-B1D5-2682F6BDCE2F}" presName="rootComposite" presStyleCnt="0"/>
      <dgm:spPr/>
    </dgm:pt>
    <dgm:pt modelId="{5839FEDF-3860-40B7-A3BE-86188B5DEC29}" type="pres">
      <dgm:prSet presAssocID="{90664D86-F9C4-49CF-B1D5-2682F6BDCE2F}" presName="rootText" presStyleLbl="node2" presStyleIdx="1" presStyleCnt="3" custScaleX="313845" custScaleY="313845" custLinFactY="14509" custLinFactNeighborX="-6394" custLinFactNeighborY="100000">
        <dgm:presLayoutVars>
          <dgm:chPref val="3"/>
        </dgm:presLayoutVars>
      </dgm:prSet>
      <dgm:spPr/>
      <dgm:t>
        <a:bodyPr/>
        <a:lstStyle/>
        <a:p>
          <a:endParaRPr lang="ru-RU"/>
        </a:p>
      </dgm:t>
    </dgm:pt>
    <dgm:pt modelId="{8216F1C4-229A-4773-B70A-0A6719E22249}" type="pres">
      <dgm:prSet presAssocID="{90664D86-F9C4-49CF-B1D5-2682F6BDCE2F}" presName="rootConnector" presStyleLbl="node2" presStyleIdx="1" presStyleCnt="3"/>
      <dgm:spPr/>
      <dgm:t>
        <a:bodyPr/>
        <a:lstStyle/>
        <a:p>
          <a:endParaRPr lang="ru-RU"/>
        </a:p>
      </dgm:t>
    </dgm:pt>
    <dgm:pt modelId="{CDD926A7-F6D5-4DD6-9FEC-A7717702EACC}" type="pres">
      <dgm:prSet presAssocID="{90664D86-F9C4-49CF-B1D5-2682F6BDCE2F}" presName="hierChild4" presStyleCnt="0"/>
      <dgm:spPr/>
    </dgm:pt>
    <dgm:pt modelId="{3DBEA0A1-07B0-4CB8-BD23-0904146F89F4}" type="pres">
      <dgm:prSet presAssocID="{07816E21-F28B-4795-ADF4-9013FAF5A541}" presName="Name37" presStyleLbl="parChTrans1D3" presStyleIdx="0" presStyleCnt="2"/>
      <dgm:spPr/>
      <dgm:t>
        <a:bodyPr/>
        <a:lstStyle/>
        <a:p>
          <a:endParaRPr lang="ru-RU"/>
        </a:p>
      </dgm:t>
    </dgm:pt>
    <dgm:pt modelId="{6BBED843-FDC9-406E-8055-3A349E00F374}" type="pres">
      <dgm:prSet presAssocID="{957C3120-BAC1-46A9-9037-8D44879FC1E0}" presName="hierRoot2" presStyleCnt="0">
        <dgm:presLayoutVars>
          <dgm:hierBranch val="init"/>
        </dgm:presLayoutVars>
      </dgm:prSet>
      <dgm:spPr/>
    </dgm:pt>
    <dgm:pt modelId="{EDE54D29-909F-4445-9E0B-B29FCBB6595D}" type="pres">
      <dgm:prSet presAssocID="{957C3120-BAC1-46A9-9037-8D44879FC1E0}" presName="rootComposite" presStyleCnt="0"/>
      <dgm:spPr/>
    </dgm:pt>
    <dgm:pt modelId="{C96AA72B-F995-4C27-85C9-E580AD1AF429}" type="pres">
      <dgm:prSet presAssocID="{957C3120-BAC1-46A9-9037-8D44879FC1E0}" presName="rootText" presStyleLbl="node3" presStyleIdx="0" presStyleCnt="2" custScaleX="285314" custScaleY="285314" custLinFactX="-200000" custLinFactNeighborX="-279596" custLinFactNeighborY="15008">
        <dgm:presLayoutVars>
          <dgm:chPref val="3"/>
        </dgm:presLayoutVars>
      </dgm:prSet>
      <dgm:spPr/>
      <dgm:t>
        <a:bodyPr/>
        <a:lstStyle/>
        <a:p>
          <a:endParaRPr lang="ru-RU"/>
        </a:p>
      </dgm:t>
    </dgm:pt>
    <dgm:pt modelId="{FA82AA8B-63A8-46A4-B78F-3B2CD7E7BAFC}" type="pres">
      <dgm:prSet presAssocID="{957C3120-BAC1-46A9-9037-8D44879FC1E0}" presName="rootConnector" presStyleLbl="node3" presStyleIdx="0" presStyleCnt="2"/>
      <dgm:spPr/>
      <dgm:t>
        <a:bodyPr/>
        <a:lstStyle/>
        <a:p>
          <a:endParaRPr lang="ru-RU"/>
        </a:p>
      </dgm:t>
    </dgm:pt>
    <dgm:pt modelId="{D8984657-B1D0-4D90-90CF-E0E6020F4FDF}" type="pres">
      <dgm:prSet presAssocID="{957C3120-BAC1-46A9-9037-8D44879FC1E0}" presName="hierChild4" presStyleCnt="0"/>
      <dgm:spPr/>
    </dgm:pt>
    <dgm:pt modelId="{9584AF8C-C994-475F-83DB-F5332C4FF629}" type="pres">
      <dgm:prSet presAssocID="{957C3120-BAC1-46A9-9037-8D44879FC1E0}" presName="hierChild5" presStyleCnt="0"/>
      <dgm:spPr/>
    </dgm:pt>
    <dgm:pt modelId="{19A6F939-4DB1-4EC0-A4FA-E3B96132AAF3}" type="pres">
      <dgm:prSet presAssocID="{90664D86-F9C4-49CF-B1D5-2682F6BDCE2F}" presName="hierChild5" presStyleCnt="0"/>
      <dgm:spPr/>
    </dgm:pt>
    <dgm:pt modelId="{AA203696-BA11-4A3E-A735-7DA10935EF6E}" type="pres">
      <dgm:prSet presAssocID="{D5F2FC93-076E-44C3-87DD-65C6792F39B9}" presName="Name50" presStyleLbl="parChTrans1D2" presStyleIdx="2" presStyleCnt="3"/>
      <dgm:spPr/>
      <dgm:t>
        <a:bodyPr/>
        <a:lstStyle/>
        <a:p>
          <a:endParaRPr lang="ru-RU"/>
        </a:p>
      </dgm:t>
    </dgm:pt>
    <dgm:pt modelId="{806AA6D6-4D8D-4965-9302-ACEB956A8EF3}" type="pres">
      <dgm:prSet presAssocID="{156A53F3-0989-4A05-B4C0-A2A10338878C}" presName="hierRoot2" presStyleCnt="0">
        <dgm:presLayoutVars>
          <dgm:hierBranch val="init"/>
        </dgm:presLayoutVars>
      </dgm:prSet>
      <dgm:spPr/>
    </dgm:pt>
    <dgm:pt modelId="{CCC9A7FC-CD67-4916-B675-D39F8891D6D8}" type="pres">
      <dgm:prSet presAssocID="{156A53F3-0989-4A05-B4C0-A2A10338878C}" presName="rootComposite" presStyleCnt="0"/>
      <dgm:spPr/>
    </dgm:pt>
    <dgm:pt modelId="{C16DFD01-3252-4091-A288-B992B5421C19}" type="pres">
      <dgm:prSet presAssocID="{156A53F3-0989-4A05-B4C0-A2A10338878C}" presName="rootText" presStyleLbl="node2" presStyleIdx="2" presStyleCnt="3" custScaleX="313845" custScaleY="313845" custLinFactY="-8724" custLinFactNeighborX="3123" custLinFactNeighborY="-100000">
        <dgm:presLayoutVars>
          <dgm:chPref val="3"/>
        </dgm:presLayoutVars>
      </dgm:prSet>
      <dgm:spPr/>
      <dgm:t>
        <a:bodyPr/>
        <a:lstStyle/>
        <a:p>
          <a:endParaRPr lang="ru-RU"/>
        </a:p>
      </dgm:t>
    </dgm:pt>
    <dgm:pt modelId="{A218C57E-DE50-453A-ABA1-A76607295161}" type="pres">
      <dgm:prSet presAssocID="{156A53F3-0989-4A05-B4C0-A2A10338878C}" presName="rootConnector" presStyleLbl="node2" presStyleIdx="2" presStyleCnt="3"/>
      <dgm:spPr/>
      <dgm:t>
        <a:bodyPr/>
        <a:lstStyle/>
        <a:p>
          <a:endParaRPr lang="ru-RU"/>
        </a:p>
      </dgm:t>
    </dgm:pt>
    <dgm:pt modelId="{7584F723-F9B6-4579-9239-0C795B1C7345}" type="pres">
      <dgm:prSet presAssocID="{156A53F3-0989-4A05-B4C0-A2A10338878C}" presName="hierChild4" presStyleCnt="0"/>
      <dgm:spPr/>
    </dgm:pt>
    <dgm:pt modelId="{29487EE5-6A4D-4A3C-A3C0-B060B80A7969}" type="pres">
      <dgm:prSet presAssocID="{4C4196C7-C8BF-4AF5-927F-707616C76B96}" presName="Name37" presStyleLbl="parChTrans1D3" presStyleIdx="1" presStyleCnt="2"/>
      <dgm:spPr/>
      <dgm:t>
        <a:bodyPr/>
        <a:lstStyle/>
        <a:p>
          <a:endParaRPr lang="ru-RU"/>
        </a:p>
      </dgm:t>
    </dgm:pt>
    <dgm:pt modelId="{62FC212A-0160-46F7-82E8-44BDFB2BEF24}" type="pres">
      <dgm:prSet presAssocID="{6598B3C6-3B24-40ED-A34A-D98175F36DC7}" presName="hierRoot2" presStyleCnt="0">
        <dgm:presLayoutVars>
          <dgm:hierBranch val="init"/>
        </dgm:presLayoutVars>
      </dgm:prSet>
      <dgm:spPr/>
    </dgm:pt>
    <dgm:pt modelId="{F06519D3-895A-4487-8D8E-BA89A7540489}" type="pres">
      <dgm:prSet presAssocID="{6598B3C6-3B24-40ED-A34A-D98175F36DC7}" presName="rootComposite" presStyleCnt="0"/>
      <dgm:spPr/>
    </dgm:pt>
    <dgm:pt modelId="{8CB551A8-02B2-4821-AA6A-07B1510718D5}" type="pres">
      <dgm:prSet presAssocID="{6598B3C6-3B24-40ED-A34A-D98175F36DC7}" presName="rootText" presStyleLbl="node3" presStyleIdx="1" presStyleCnt="2" custScaleX="285314" custScaleY="285314" custLinFactX="-200000" custLinFactY="-60677" custLinFactNeighborX="-279120" custLinFactNeighborY="-100000">
        <dgm:presLayoutVars>
          <dgm:chPref val="3"/>
        </dgm:presLayoutVars>
      </dgm:prSet>
      <dgm:spPr/>
      <dgm:t>
        <a:bodyPr/>
        <a:lstStyle/>
        <a:p>
          <a:endParaRPr lang="ru-RU"/>
        </a:p>
      </dgm:t>
    </dgm:pt>
    <dgm:pt modelId="{2E5B4C32-3DD7-42C1-845B-1274B82E0B11}" type="pres">
      <dgm:prSet presAssocID="{6598B3C6-3B24-40ED-A34A-D98175F36DC7}" presName="rootConnector" presStyleLbl="node3" presStyleIdx="1" presStyleCnt="2"/>
      <dgm:spPr/>
      <dgm:t>
        <a:bodyPr/>
        <a:lstStyle/>
        <a:p>
          <a:endParaRPr lang="ru-RU"/>
        </a:p>
      </dgm:t>
    </dgm:pt>
    <dgm:pt modelId="{BA4D8697-E57F-428B-A295-692DA41477D1}" type="pres">
      <dgm:prSet presAssocID="{6598B3C6-3B24-40ED-A34A-D98175F36DC7}" presName="hierChild4" presStyleCnt="0"/>
      <dgm:spPr/>
    </dgm:pt>
    <dgm:pt modelId="{0742CB6B-DBA1-4FA7-AFCD-BD05759558E5}" type="pres">
      <dgm:prSet presAssocID="{6598B3C6-3B24-40ED-A34A-D98175F36DC7}" presName="hierChild5" presStyleCnt="0"/>
      <dgm:spPr/>
    </dgm:pt>
    <dgm:pt modelId="{B840B236-2A19-44C3-8DA3-3932FF741D89}" type="pres">
      <dgm:prSet presAssocID="{156A53F3-0989-4A05-B4C0-A2A10338878C}" presName="hierChild5" presStyleCnt="0"/>
      <dgm:spPr/>
    </dgm:pt>
    <dgm:pt modelId="{C40E7237-2D9A-4B3A-B59D-CEB00ECCA29E}" type="pres">
      <dgm:prSet presAssocID="{87CB39FE-89EE-4114-A662-366088A431C0}" presName="hierChild3" presStyleCnt="0"/>
      <dgm:spPr/>
    </dgm:pt>
  </dgm:ptLst>
  <dgm:cxnLst>
    <dgm:cxn modelId="{F9DAAA58-D835-46E8-BD1D-4E06AA2EEC46}" type="presOf" srcId="{90664D86-F9C4-49CF-B1D5-2682F6BDCE2F}" destId="{8216F1C4-229A-4773-B70A-0A6719E22249}" srcOrd="1" destOrd="0" presId="urn:microsoft.com/office/officeart/2005/8/layout/orgChart1"/>
    <dgm:cxn modelId="{EE99E9A5-8374-4FC9-A4A0-A90F6E692759}" type="presOf" srcId="{42E3B892-F25C-426E-9390-0648B13CB4C5}" destId="{3FAB956E-8991-4A20-90DC-C22A06F895E8}" srcOrd="1" destOrd="0" presId="urn:microsoft.com/office/officeart/2005/8/layout/orgChart1"/>
    <dgm:cxn modelId="{1F70BD6B-F734-4F1D-8647-5425DCACE466}" type="presOf" srcId="{87CB39FE-89EE-4114-A662-366088A431C0}" destId="{D19BA056-91AF-46F9-AF43-5FFAB62C94A0}" srcOrd="1" destOrd="0" presId="urn:microsoft.com/office/officeart/2005/8/layout/orgChart1"/>
    <dgm:cxn modelId="{A6554DCE-9E22-4DEF-B405-64D0DF704A05}" srcId="{90664D86-F9C4-49CF-B1D5-2682F6BDCE2F}" destId="{957C3120-BAC1-46A9-9037-8D44879FC1E0}" srcOrd="0" destOrd="0" parTransId="{07816E21-F28B-4795-ADF4-9013FAF5A541}" sibTransId="{B84378E2-35EE-4041-AECB-B4752F0F4F5E}"/>
    <dgm:cxn modelId="{016166CD-41D7-4FE6-84BB-E485CB2033FB}" type="presOf" srcId="{4C4196C7-C8BF-4AF5-927F-707616C76B96}" destId="{29487EE5-6A4D-4A3C-A3C0-B060B80A7969}" srcOrd="0" destOrd="0" presId="urn:microsoft.com/office/officeart/2005/8/layout/orgChart1"/>
    <dgm:cxn modelId="{5AE7DA5A-E12F-4B06-82BA-AB5826EA374B}" type="presOf" srcId="{6598B3C6-3B24-40ED-A34A-D98175F36DC7}" destId="{8CB551A8-02B2-4821-AA6A-07B1510718D5}" srcOrd="0" destOrd="0" presId="urn:microsoft.com/office/officeart/2005/8/layout/orgChart1"/>
    <dgm:cxn modelId="{7DF222B9-26F1-4A6D-8A0A-C2B04FC8BFD3}" type="presOf" srcId="{D0F5FEA1-742C-4499-9090-D4289306309A}" destId="{015AA9FA-1289-4B7D-B792-684987025719}" srcOrd="0" destOrd="0" presId="urn:microsoft.com/office/officeart/2005/8/layout/orgChart1"/>
    <dgm:cxn modelId="{1FFA6642-45BB-4954-8D18-E57477DDA3E3}" srcId="{156A53F3-0989-4A05-B4C0-A2A10338878C}" destId="{6598B3C6-3B24-40ED-A34A-D98175F36DC7}" srcOrd="0" destOrd="0" parTransId="{4C4196C7-C8BF-4AF5-927F-707616C76B96}" sibTransId="{6B5917C3-52C9-46E6-86D7-23ED12EACCB0}"/>
    <dgm:cxn modelId="{B8D4B08E-6F23-4745-9CD8-FA0F3D241357}" type="presOf" srcId="{90664D86-F9C4-49CF-B1D5-2682F6BDCE2F}" destId="{5839FEDF-3860-40B7-A3BE-86188B5DEC29}" srcOrd="0" destOrd="0" presId="urn:microsoft.com/office/officeart/2005/8/layout/orgChart1"/>
    <dgm:cxn modelId="{DF140EA1-EDD3-4781-8D48-7B5765CCE9FE}" type="presOf" srcId="{6598B3C6-3B24-40ED-A34A-D98175F36DC7}" destId="{2E5B4C32-3DD7-42C1-845B-1274B82E0B11}" srcOrd="1" destOrd="0" presId="urn:microsoft.com/office/officeart/2005/8/layout/orgChart1"/>
    <dgm:cxn modelId="{9C0B7AB8-61F1-48EA-92BD-48CE58F10C31}" srcId="{87CB39FE-89EE-4114-A662-366088A431C0}" destId="{90664D86-F9C4-49CF-B1D5-2682F6BDCE2F}" srcOrd="1" destOrd="0" parTransId="{D0F5FEA1-742C-4499-9090-D4289306309A}" sibTransId="{7C7E4891-9D59-4E4C-B6AD-876CFDCAE313}"/>
    <dgm:cxn modelId="{D10C9622-81C9-4C26-9916-731AA931FD70}" srcId="{696E7DA5-F734-4F32-951D-58923AD6153C}" destId="{87CB39FE-89EE-4114-A662-366088A431C0}" srcOrd="0" destOrd="0" parTransId="{7432ACF6-393A-476E-B1C9-F628A0E0A5EB}" sibTransId="{CB11EBE8-8300-46BB-9726-8D2FEFEB6B4C}"/>
    <dgm:cxn modelId="{1F5369B7-8C44-4A62-9E24-B54E114835E2}" type="presOf" srcId="{42E3B892-F25C-426E-9390-0648B13CB4C5}" destId="{D654ABED-C455-4D98-ADF2-6DF88499ABE0}" srcOrd="0" destOrd="0" presId="urn:microsoft.com/office/officeart/2005/8/layout/orgChart1"/>
    <dgm:cxn modelId="{12AFBF49-7DE6-45E3-9A8E-E89871F310F7}" type="presOf" srcId="{696E7DA5-F734-4F32-951D-58923AD6153C}" destId="{5EFAA0FD-39A3-4DA5-AEE1-8AEFBDD2B391}" srcOrd="0" destOrd="0" presId="urn:microsoft.com/office/officeart/2005/8/layout/orgChart1"/>
    <dgm:cxn modelId="{5FE7371F-901D-4938-B14D-0E300F5025DD}" type="presOf" srcId="{957C3120-BAC1-46A9-9037-8D44879FC1E0}" destId="{FA82AA8B-63A8-46A4-B78F-3B2CD7E7BAFC}" srcOrd="1" destOrd="0" presId="urn:microsoft.com/office/officeart/2005/8/layout/orgChart1"/>
    <dgm:cxn modelId="{E3D79CCF-5840-4455-B74A-91810FAC00D1}" type="presOf" srcId="{07816E21-F28B-4795-ADF4-9013FAF5A541}" destId="{3DBEA0A1-07B0-4CB8-BD23-0904146F89F4}" srcOrd="0" destOrd="0" presId="urn:microsoft.com/office/officeart/2005/8/layout/orgChart1"/>
    <dgm:cxn modelId="{937C547F-3F4C-461F-82AB-D54B09CD1ECB}" type="presOf" srcId="{156A53F3-0989-4A05-B4C0-A2A10338878C}" destId="{A218C57E-DE50-453A-ABA1-A76607295161}" srcOrd="1" destOrd="0" presId="urn:microsoft.com/office/officeart/2005/8/layout/orgChart1"/>
    <dgm:cxn modelId="{3BF1F7B1-B105-4929-9E73-6D34BE2B07F8}" type="presOf" srcId="{156A53F3-0989-4A05-B4C0-A2A10338878C}" destId="{C16DFD01-3252-4091-A288-B992B5421C19}" srcOrd="0" destOrd="0" presId="urn:microsoft.com/office/officeart/2005/8/layout/orgChart1"/>
    <dgm:cxn modelId="{4579BCCE-1164-4163-986F-89ED44D2A773}" srcId="{87CB39FE-89EE-4114-A662-366088A431C0}" destId="{156A53F3-0989-4A05-B4C0-A2A10338878C}" srcOrd="2" destOrd="0" parTransId="{D5F2FC93-076E-44C3-87DD-65C6792F39B9}" sibTransId="{9618B832-3E1D-48D0-8588-F5D00772875F}"/>
    <dgm:cxn modelId="{0C90B157-979B-4FFC-9EF0-C125AFDA421C}" srcId="{87CB39FE-89EE-4114-A662-366088A431C0}" destId="{42E3B892-F25C-426E-9390-0648B13CB4C5}" srcOrd="0" destOrd="0" parTransId="{2E166ABC-46C1-4F69-A174-0F0C3B63974A}" sibTransId="{297B19D6-CF52-4C5B-B93F-2BCE648CABA0}"/>
    <dgm:cxn modelId="{DD2E0FE9-0707-4148-AC43-582288FF0E86}" type="presOf" srcId="{957C3120-BAC1-46A9-9037-8D44879FC1E0}" destId="{C96AA72B-F995-4C27-85C9-E580AD1AF429}" srcOrd="0" destOrd="0" presId="urn:microsoft.com/office/officeart/2005/8/layout/orgChart1"/>
    <dgm:cxn modelId="{6FC0F024-6A3C-4E68-9E86-66996A1F3E57}" type="presOf" srcId="{D5F2FC93-076E-44C3-87DD-65C6792F39B9}" destId="{AA203696-BA11-4A3E-A735-7DA10935EF6E}" srcOrd="0" destOrd="0" presId="urn:microsoft.com/office/officeart/2005/8/layout/orgChart1"/>
    <dgm:cxn modelId="{C61E3248-1DC2-42D9-9414-202D58AEE2BB}" type="presOf" srcId="{87CB39FE-89EE-4114-A662-366088A431C0}" destId="{15C41227-D635-4283-8CFE-87D83E993301}" srcOrd="0" destOrd="0" presId="urn:microsoft.com/office/officeart/2005/8/layout/orgChart1"/>
    <dgm:cxn modelId="{F6D3D291-06D3-4AA7-B996-981DDC3B46D0}" type="presOf" srcId="{2E166ABC-46C1-4F69-A174-0F0C3B63974A}" destId="{106F0D42-7341-40E8-94AF-6FD333526F40}" srcOrd="0" destOrd="0" presId="urn:microsoft.com/office/officeart/2005/8/layout/orgChart1"/>
    <dgm:cxn modelId="{119CF182-A45A-46A7-B8DD-B3D412B275DB}" type="presParOf" srcId="{5EFAA0FD-39A3-4DA5-AEE1-8AEFBDD2B391}" destId="{E77EFA50-88B6-40EC-A3BA-9B1980222816}" srcOrd="0" destOrd="0" presId="urn:microsoft.com/office/officeart/2005/8/layout/orgChart1"/>
    <dgm:cxn modelId="{4BC42084-DB4A-4F97-A910-83B4E53E7EE2}" type="presParOf" srcId="{E77EFA50-88B6-40EC-A3BA-9B1980222816}" destId="{0CC12C84-EB41-4F50-A822-569D4FB7ADBE}" srcOrd="0" destOrd="0" presId="urn:microsoft.com/office/officeart/2005/8/layout/orgChart1"/>
    <dgm:cxn modelId="{1BCD647D-B712-446B-8AC8-685FE76C0EE6}" type="presParOf" srcId="{0CC12C84-EB41-4F50-A822-569D4FB7ADBE}" destId="{15C41227-D635-4283-8CFE-87D83E993301}" srcOrd="0" destOrd="0" presId="urn:microsoft.com/office/officeart/2005/8/layout/orgChart1"/>
    <dgm:cxn modelId="{720863AC-52AA-479A-A940-17BFF36BEFF0}" type="presParOf" srcId="{0CC12C84-EB41-4F50-A822-569D4FB7ADBE}" destId="{D19BA056-91AF-46F9-AF43-5FFAB62C94A0}" srcOrd="1" destOrd="0" presId="urn:microsoft.com/office/officeart/2005/8/layout/orgChart1"/>
    <dgm:cxn modelId="{D3BD1F1F-B359-4975-9DDC-BF8A62A3C518}" type="presParOf" srcId="{E77EFA50-88B6-40EC-A3BA-9B1980222816}" destId="{B0110050-683F-4B46-9771-AA5EEB660555}" srcOrd="1" destOrd="0" presId="urn:microsoft.com/office/officeart/2005/8/layout/orgChart1"/>
    <dgm:cxn modelId="{CE8E3CAA-BECC-42F0-812E-39639740E8B8}" type="presParOf" srcId="{B0110050-683F-4B46-9771-AA5EEB660555}" destId="{106F0D42-7341-40E8-94AF-6FD333526F40}" srcOrd="0" destOrd="0" presId="urn:microsoft.com/office/officeart/2005/8/layout/orgChart1"/>
    <dgm:cxn modelId="{B7EBC868-3339-474E-9E33-13DDE4A19013}" type="presParOf" srcId="{B0110050-683F-4B46-9771-AA5EEB660555}" destId="{8C3D03C7-8049-4B1D-9DA7-F962F3E5E14A}" srcOrd="1" destOrd="0" presId="urn:microsoft.com/office/officeart/2005/8/layout/orgChart1"/>
    <dgm:cxn modelId="{ECB933B0-D875-4943-968D-5A58BD1D9F2C}" type="presParOf" srcId="{8C3D03C7-8049-4B1D-9DA7-F962F3E5E14A}" destId="{0FF130D3-4795-4289-949E-9716854F416F}" srcOrd="0" destOrd="0" presId="urn:microsoft.com/office/officeart/2005/8/layout/orgChart1"/>
    <dgm:cxn modelId="{B8C1CB13-0F3F-4EA0-8351-D7C485F36C0D}" type="presParOf" srcId="{0FF130D3-4795-4289-949E-9716854F416F}" destId="{D654ABED-C455-4D98-ADF2-6DF88499ABE0}" srcOrd="0" destOrd="0" presId="urn:microsoft.com/office/officeart/2005/8/layout/orgChart1"/>
    <dgm:cxn modelId="{414D36F8-D08D-46D4-8F7B-36D0604C5AFB}" type="presParOf" srcId="{0FF130D3-4795-4289-949E-9716854F416F}" destId="{3FAB956E-8991-4A20-90DC-C22A06F895E8}" srcOrd="1" destOrd="0" presId="urn:microsoft.com/office/officeart/2005/8/layout/orgChart1"/>
    <dgm:cxn modelId="{E440495E-1510-4654-8FA5-E4C4E3BFF859}" type="presParOf" srcId="{8C3D03C7-8049-4B1D-9DA7-F962F3E5E14A}" destId="{F12C5387-F407-4417-8837-C6D7891BAE8E}" srcOrd="1" destOrd="0" presId="urn:microsoft.com/office/officeart/2005/8/layout/orgChart1"/>
    <dgm:cxn modelId="{FF1CBD1F-D475-4100-AF81-8A574CB8A5BB}" type="presParOf" srcId="{8C3D03C7-8049-4B1D-9DA7-F962F3E5E14A}" destId="{182DE499-D020-4D77-BAE2-8FE1C39021BB}" srcOrd="2" destOrd="0" presId="urn:microsoft.com/office/officeart/2005/8/layout/orgChart1"/>
    <dgm:cxn modelId="{5FB29D38-B40F-4F76-91FC-FAC551F68153}" type="presParOf" srcId="{B0110050-683F-4B46-9771-AA5EEB660555}" destId="{015AA9FA-1289-4B7D-B792-684987025719}" srcOrd="2" destOrd="0" presId="urn:microsoft.com/office/officeart/2005/8/layout/orgChart1"/>
    <dgm:cxn modelId="{3F1F89C8-B9C7-4D5F-9FCD-B5EE277170BA}" type="presParOf" srcId="{B0110050-683F-4B46-9771-AA5EEB660555}" destId="{472CA005-FC52-4ABA-99D8-862EFFA03780}" srcOrd="3" destOrd="0" presId="urn:microsoft.com/office/officeart/2005/8/layout/orgChart1"/>
    <dgm:cxn modelId="{5ACE49EA-1E8B-4F32-A2DE-48196EAD0C79}" type="presParOf" srcId="{472CA005-FC52-4ABA-99D8-862EFFA03780}" destId="{3E362B78-BDC8-41C3-B624-662FF2045656}" srcOrd="0" destOrd="0" presId="urn:microsoft.com/office/officeart/2005/8/layout/orgChart1"/>
    <dgm:cxn modelId="{FEA2FBC4-5FF7-4F4A-91A5-1BCDD53498B5}" type="presParOf" srcId="{3E362B78-BDC8-41C3-B624-662FF2045656}" destId="{5839FEDF-3860-40B7-A3BE-86188B5DEC29}" srcOrd="0" destOrd="0" presId="urn:microsoft.com/office/officeart/2005/8/layout/orgChart1"/>
    <dgm:cxn modelId="{8C1329A7-232D-4EE3-A103-CF334DF2EB2D}" type="presParOf" srcId="{3E362B78-BDC8-41C3-B624-662FF2045656}" destId="{8216F1C4-229A-4773-B70A-0A6719E22249}" srcOrd="1" destOrd="0" presId="urn:microsoft.com/office/officeart/2005/8/layout/orgChart1"/>
    <dgm:cxn modelId="{A99B1A40-BECD-4326-856B-94899FBDB319}" type="presParOf" srcId="{472CA005-FC52-4ABA-99D8-862EFFA03780}" destId="{CDD926A7-F6D5-4DD6-9FEC-A7717702EACC}" srcOrd="1" destOrd="0" presId="urn:microsoft.com/office/officeart/2005/8/layout/orgChart1"/>
    <dgm:cxn modelId="{127DD2D7-2426-4BEB-AADC-D5037D30AA8A}" type="presParOf" srcId="{CDD926A7-F6D5-4DD6-9FEC-A7717702EACC}" destId="{3DBEA0A1-07B0-4CB8-BD23-0904146F89F4}" srcOrd="0" destOrd="0" presId="urn:microsoft.com/office/officeart/2005/8/layout/orgChart1"/>
    <dgm:cxn modelId="{09B5D91A-E6F0-4D35-AA6C-71D54F42E335}" type="presParOf" srcId="{CDD926A7-F6D5-4DD6-9FEC-A7717702EACC}" destId="{6BBED843-FDC9-406E-8055-3A349E00F374}" srcOrd="1" destOrd="0" presId="urn:microsoft.com/office/officeart/2005/8/layout/orgChart1"/>
    <dgm:cxn modelId="{6AC672E7-5D57-4E57-A3C9-E5F32BEB3D77}" type="presParOf" srcId="{6BBED843-FDC9-406E-8055-3A349E00F374}" destId="{EDE54D29-909F-4445-9E0B-B29FCBB6595D}" srcOrd="0" destOrd="0" presId="urn:microsoft.com/office/officeart/2005/8/layout/orgChart1"/>
    <dgm:cxn modelId="{A2D5CB54-0E7C-4143-B1A5-E0093F900EEA}" type="presParOf" srcId="{EDE54D29-909F-4445-9E0B-B29FCBB6595D}" destId="{C96AA72B-F995-4C27-85C9-E580AD1AF429}" srcOrd="0" destOrd="0" presId="urn:microsoft.com/office/officeart/2005/8/layout/orgChart1"/>
    <dgm:cxn modelId="{E72E28C4-8B8C-44A6-AB43-674D576022B6}" type="presParOf" srcId="{EDE54D29-909F-4445-9E0B-B29FCBB6595D}" destId="{FA82AA8B-63A8-46A4-B78F-3B2CD7E7BAFC}" srcOrd="1" destOrd="0" presId="urn:microsoft.com/office/officeart/2005/8/layout/orgChart1"/>
    <dgm:cxn modelId="{B5B34DB5-9D6B-4611-BEF5-535EC8A381F0}" type="presParOf" srcId="{6BBED843-FDC9-406E-8055-3A349E00F374}" destId="{D8984657-B1D0-4D90-90CF-E0E6020F4FDF}" srcOrd="1" destOrd="0" presId="urn:microsoft.com/office/officeart/2005/8/layout/orgChart1"/>
    <dgm:cxn modelId="{C9823125-7E20-4C51-8FB5-B501F31C33EA}" type="presParOf" srcId="{6BBED843-FDC9-406E-8055-3A349E00F374}" destId="{9584AF8C-C994-475F-83DB-F5332C4FF629}" srcOrd="2" destOrd="0" presId="urn:microsoft.com/office/officeart/2005/8/layout/orgChart1"/>
    <dgm:cxn modelId="{B6C45E79-6D08-4631-A49D-D25D85C94D2B}" type="presParOf" srcId="{472CA005-FC52-4ABA-99D8-862EFFA03780}" destId="{19A6F939-4DB1-4EC0-A4FA-E3B96132AAF3}" srcOrd="2" destOrd="0" presId="urn:microsoft.com/office/officeart/2005/8/layout/orgChart1"/>
    <dgm:cxn modelId="{B798D2FF-83CE-493C-A933-B193431A767D}" type="presParOf" srcId="{B0110050-683F-4B46-9771-AA5EEB660555}" destId="{AA203696-BA11-4A3E-A735-7DA10935EF6E}" srcOrd="4" destOrd="0" presId="urn:microsoft.com/office/officeart/2005/8/layout/orgChart1"/>
    <dgm:cxn modelId="{76713BC8-4191-4F33-8A7D-8C427F8009F6}" type="presParOf" srcId="{B0110050-683F-4B46-9771-AA5EEB660555}" destId="{806AA6D6-4D8D-4965-9302-ACEB956A8EF3}" srcOrd="5" destOrd="0" presId="urn:microsoft.com/office/officeart/2005/8/layout/orgChart1"/>
    <dgm:cxn modelId="{CDB87708-3E94-4436-B4FC-172AD5EF8D60}" type="presParOf" srcId="{806AA6D6-4D8D-4965-9302-ACEB956A8EF3}" destId="{CCC9A7FC-CD67-4916-B675-D39F8891D6D8}" srcOrd="0" destOrd="0" presId="urn:microsoft.com/office/officeart/2005/8/layout/orgChart1"/>
    <dgm:cxn modelId="{169744A1-23BE-4D7A-9088-4BD503C0929B}" type="presParOf" srcId="{CCC9A7FC-CD67-4916-B675-D39F8891D6D8}" destId="{C16DFD01-3252-4091-A288-B992B5421C19}" srcOrd="0" destOrd="0" presId="urn:microsoft.com/office/officeart/2005/8/layout/orgChart1"/>
    <dgm:cxn modelId="{ECFE5C51-1F8A-4150-A75F-2447F9F040EA}" type="presParOf" srcId="{CCC9A7FC-CD67-4916-B675-D39F8891D6D8}" destId="{A218C57E-DE50-453A-ABA1-A76607295161}" srcOrd="1" destOrd="0" presId="urn:microsoft.com/office/officeart/2005/8/layout/orgChart1"/>
    <dgm:cxn modelId="{E2199EDD-0BF0-4434-A46E-713200A71A33}" type="presParOf" srcId="{806AA6D6-4D8D-4965-9302-ACEB956A8EF3}" destId="{7584F723-F9B6-4579-9239-0C795B1C7345}" srcOrd="1" destOrd="0" presId="urn:microsoft.com/office/officeart/2005/8/layout/orgChart1"/>
    <dgm:cxn modelId="{3F0F862E-124F-470A-8E99-FE0AE4A9EB92}" type="presParOf" srcId="{7584F723-F9B6-4579-9239-0C795B1C7345}" destId="{29487EE5-6A4D-4A3C-A3C0-B060B80A7969}" srcOrd="0" destOrd="0" presId="urn:microsoft.com/office/officeart/2005/8/layout/orgChart1"/>
    <dgm:cxn modelId="{2289E841-7DE7-4F4E-BA7C-8C7C1671EAD1}" type="presParOf" srcId="{7584F723-F9B6-4579-9239-0C795B1C7345}" destId="{62FC212A-0160-46F7-82E8-44BDFB2BEF24}" srcOrd="1" destOrd="0" presId="urn:microsoft.com/office/officeart/2005/8/layout/orgChart1"/>
    <dgm:cxn modelId="{2B0BA9E2-1F99-4B58-8D7A-B70F1B4010F3}" type="presParOf" srcId="{62FC212A-0160-46F7-82E8-44BDFB2BEF24}" destId="{F06519D3-895A-4487-8D8E-BA89A7540489}" srcOrd="0" destOrd="0" presId="urn:microsoft.com/office/officeart/2005/8/layout/orgChart1"/>
    <dgm:cxn modelId="{1C06AC5C-1266-4AC9-9147-024BE2EE626D}" type="presParOf" srcId="{F06519D3-895A-4487-8D8E-BA89A7540489}" destId="{8CB551A8-02B2-4821-AA6A-07B1510718D5}" srcOrd="0" destOrd="0" presId="urn:microsoft.com/office/officeart/2005/8/layout/orgChart1"/>
    <dgm:cxn modelId="{6C03C38C-FA05-4008-94A3-C09EB6E708DB}" type="presParOf" srcId="{F06519D3-895A-4487-8D8E-BA89A7540489}" destId="{2E5B4C32-3DD7-42C1-845B-1274B82E0B11}" srcOrd="1" destOrd="0" presId="urn:microsoft.com/office/officeart/2005/8/layout/orgChart1"/>
    <dgm:cxn modelId="{76B26E7D-32EE-4D5A-B6D5-DE20392B31A5}" type="presParOf" srcId="{62FC212A-0160-46F7-82E8-44BDFB2BEF24}" destId="{BA4D8697-E57F-428B-A295-692DA41477D1}" srcOrd="1" destOrd="0" presId="urn:microsoft.com/office/officeart/2005/8/layout/orgChart1"/>
    <dgm:cxn modelId="{AE98170B-41D5-49C7-B6B9-1D0C96AE8F55}" type="presParOf" srcId="{62FC212A-0160-46F7-82E8-44BDFB2BEF24}" destId="{0742CB6B-DBA1-4FA7-AFCD-BD05759558E5}" srcOrd="2" destOrd="0" presId="urn:microsoft.com/office/officeart/2005/8/layout/orgChart1"/>
    <dgm:cxn modelId="{5A19DAE7-D573-4F2B-B35E-502271464365}" type="presParOf" srcId="{806AA6D6-4D8D-4965-9302-ACEB956A8EF3}" destId="{B840B236-2A19-44C3-8DA3-3932FF741D89}" srcOrd="2" destOrd="0" presId="urn:microsoft.com/office/officeart/2005/8/layout/orgChart1"/>
    <dgm:cxn modelId="{246F742F-60D4-41AB-8D9C-8E00B33B6F98}" type="presParOf" srcId="{E77EFA50-88B6-40EC-A3BA-9B1980222816}" destId="{C40E7237-2D9A-4B3A-B59D-CEB00ECCA29E}"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CAF51B63-62E6-4F42-B685-E637AF2F7F87}" type="doc">
      <dgm:prSet loTypeId="urn:microsoft.com/office/officeart/2005/8/layout/orgChart1" loCatId="hierarchy" qsTypeId="urn:microsoft.com/office/officeart/2005/8/quickstyle/simple3" qsCatId="simple" csTypeId="urn:microsoft.com/office/officeart/2005/8/colors/accent1_5" csCatId="accent1" phldr="1"/>
      <dgm:spPr/>
      <dgm:t>
        <a:bodyPr/>
        <a:lstStyle/>
        <a:p>
          <a:endParaRPr lang="ru-RU"/>
        </a:p>
      </dgm:t>
    </dgm:pt>
    <dgm:pt modelId="{01D4442F-AADD-4FF0-852E-19B8909FD425}">
      <dgm:prSet phldrT="[Текст]"/>
      <dgm:spPr/>
      <dgm:t>
        <a:bodyPr/>
        <a:lstStyle/>
        <a:p>
          <a:pPr algn="ctr"/>
          <a:r>
            <a:rPr lang="ru-RU"/>
            <a:t>Нефтегазовые доходы</a:t>
          </a:r>
        </a:p>
      </dgm:t>
    </dgm:pt>
    <dgm:pt modelId="{88821728-7788-4770-A5F4-F85A75AE1C71}" type="parTrans" cxnId="{DACAD378-E81C-41ED-AB50-6CA3763063F7}">
      <dgm:prSet/>
      <dgm:spPr/>
      <dgm:t>
        <a:bodyPr/>
        <a:lstStyle/>
        <a:p>
          <a:pPr algn="ctr"/>
          <a:endParaRPr lang="ru-RU"/>
        </a:p>
      </dgm:t>
    </dgm:pt>
    <dgm:pt modelId="{B2DD0F27-D05F-483C-8845-BBFF5051234E}" type="sibTrans" cxnId="{DACAD378-E81C-41ED-AB50-6CA3763063F7}">
      <dgm:prSet/>
      <dgm:spPr/>
      <dgm:t>
        <a:bodyPr/>
        <a:lstStyle/>
        <a:p>
          <a:pPr algn="ctr"/>
          <a:endParaRPr lang="ru-RU"/>
        </a:p>
      </dgm:t>
    </dgm:pt>
    <dgm:pt modelId="{BED2B97B-9035-448C-BB2C-5447175D728F}" type="asst">
      <dgm:prSet phldrT="[Текст]"/>
      <dgm:spPr/>
      <dgm:t>
        <a:bodyPr/>
        <a:lstStyle/>
        <a:p>
          <a:pPr algn="ctr"/>
          <a:r>
            <a:rPr lang="ru-RU"/>
            <a:t>Объем нефтегаовых доходов, расчитанный при базовой цене на нефть</a:t>
          </a:r>
        </a:p>
      </dgm:t>
    </dgm:pt>
    <dgm:pt modelId="{0F336959-7BAF-4B50-96D7-0412B4CD6735}" type="parTrans" cxnId="{F167890C-DD39-4732-95E4-00678F7FC03B}">
      <dgm:prSet/>
      <dgm:spPr/>
      <dgm:t>
        <a:bodyPr/>
        <a:lstStyle/>
        <a:p>
          <a:pPr algn="ctr"/>
          <a:endParaRPr lang="ru-RU"/>
        </a:p>
      </dgm:t>
    </dgm:pt>
    <dgm:pt modelId="{BB3F5422-95A8-43E0-9E96-CB07A4951AD1}" type="sibTrans" cxnId="{F167890C-DD39-4732-95E4-00678F7FC03B}">
      <dgm:prSet/>
      <dgm:spPr/>
      <dgm:t>
        <a:bodyPr/>
        <a:lstStyle/>
        <a:p>
          <a:pPr algn="ctr"/>
          <a:endParaRPr lang="ru-RU"/>
        </a:p>
      </dgm:t>
    </dgm:pt>
    <dgm:pt modelId="{A56DD193-6B87-4A8E-8856-D58C6E6550C2}" type="asst">
      <dgm:prSet phldrT="[Текст]"/>
      <dgm:spPr/>
      <dgm:t>
        <a:bodyPr/>
        <a:lstStyle/>
        <a:p>
          <a:pPr algn="ctr"/>
          <a:r>
            <a:rPr lang="ru-RU"/>
            <a:t>Объем нефтегазовых доходов при цене на нефть выше базовой</a:t>
          </a:r>
        </a:p>
      </dgm:t>
    </dgm:pt>
    <dgm:pt modelId="{A445C574-7A77-4DB7-B8D6-9B211158A8B6}" type="parTrans" cxnId="{251D8499-D31F-423D-8124-5A929BA4B80A}">
      <dgm:prSet/>
      <dgm:spPr/>
      <dgm:t>
        <a:bodyPr/>
        <a:lstStyle/>
        <a:p>
          <a:pPr algn="ctr"/>
          <a:endParaRPr lang="ru-RU"/>
        </a:p>
      </dgm:t>
    </dgm:pt>
    <dgm:pt modelId="{DBD86014-084F-4FA6-B10B-45349EE1B086}" type="sibTrans" cxnId="{251D8499-D31F-423D-8124-5A929BA4B80A}">
      <dgm:prSet/>
      <dgm:spPr/>
      <dgm:t>
        <a:bodyPr/>
        <a:lstStyle/>
        <a:p>
          <a:pPr algn="ctr"/>
          <a:endParaRPr lang="ru-RU"/>
        </a:p>
      </dgm:t>
    </dgm:pt>
    <dgm:pt modelId="{2EAC96B9-48CB-4813-9D65-903FF0CFBF4E}" type="asst">
      <dgm:prSet phldrT="[Текст]"/>
      <dgm:spPr/>
      <dgm:t>
        <a:bodyPr/>
        <a:lstStyle/>
        <a:p>
          <a:pPr algn="ctr"/>
          <a:r>
            <a:rPr lang="ru-RU"/>
            <a:t>Резервный фонд </a:t>
          </a:r>
        </a:p>
        <a:p>
          <a:pPr algn="ctr"/>
          <a:r>
            <a:rPr lang="ru-RU"/>
            <a:t>(до 7% ВВП)</a:t>
          </a:r>
        </a:p>
      </dgm:t>
    </dgm:pt>
    <dgm:pt modelId="{11D61190-55EA-4102-9519-F43B5A183AE2}" type="parTrans" cxnId="{EF072580-6656-4751-899A-937E08B41589}">
      <dgm:prSet/>
      <dgm:spPr/>
      <dgm:t>
        <a:bodyPr/>
        <a:lstStyle/>
        <a:p>
          <a:pPr algn="ctr"/>
          <a:endParaRPr lang="ru-RU"/>
        </a:p>
      </dgm:t>
    </dgm:pt>
    <dgm:pt modelId="{1C0A2394-D146-4A73-AED2-E4043E7C3546}" type="sibTrans" cxnId="{EF072580-6656-4751-899A-937E08B41589}">
      <dgm:prSet/>
      <dgm:spPr/>
      <dgm:t>
        <a:bodyPr/>
        <a:lstStyle/>
        <a:p>
          <a:pPr algn="ctr"/>
          <a:endParaRPr lang="ru-RU"/>
        </a:p>
      </dgm:t>
    </dgm:pt>
    <dgm:pt modelId="{C4607BF8-0636-4D55-A361-BB53C5C69435}" type="asst">
      <dgm:prSet phldrT="[Текст]"/>
      <dgm:spPr/>
      <dgm:t>
        <a:bodyPr/>
        <a:lstStyle/>
        <a:p>
          <a:pPr algn="ctr"/>
          <a:r>
            <a:rPr lang="ru-RU"/>
            <a:t>Фонд национального благосостояние (50%)</a:t>
          </a:r>
        </a:p>
      </dgm:t>
    </dgm:pt>
    <dgm:pt modelId="{0801DE38-901D-40A7-921A-EB15ED5D992A}" type="parTrans" cxnId="{21D34540-E63D-4BFD-AA7E-4C3C5027A5A5}">
      <dgm:prSet/>
      <dgm:spPr/>
      <dgm:t>
        <a:bodyPr/>
        <a:lstStyle/>
        <a:p>
          <a:pPr algn="ctr"/>
          <a:endParaRPr lang="ru-RU"/>
        </a:p>
      </dgm:t>
    </dgm:pt>
    <dgm:pt modelId="{8651DAFA-F198-46A5-A7A8-B93A5E5C5A61}" type="sibTrans" cxnId="{21D34540-E63D-4BFD-AA7E-4C3C5027A5A5}">
      <dgm:prSet/>
      <dgm:spPr/>
      <dgm:t>
        <a:bodyPr/>
        <a:lstStyle/>
        <a:p>
          <a:pPr algn="ctr"/>
          <a:endParaRPr lang="ru-RU"/>
        </a:p>
      </dgm:t>
    </dgm:pt>
    <dgm:pt modelId="{01D0302A-A0CD-44CB-838A-9478B56647F6}" type="asst">
      <dgm:prSet phldrT="[Текст]"/>
      <dgm:spPr/>
      <dgm:t>
        <a:bodyPr/>
        <a:lstStyle/>
        <a:p>
          <a:pPr algn="ctr"/>
          <a:r>
            <a:rPr lang="ru-RU"/>
            <a:t>Инвестиции в инфраструктуру и иные приоритетные проекты (50%)</a:t>
          </a:r>
        </a:p>
      </dgm:t>
    </dgm:pt>
    <dgm:pt modelId="{6EAD3037-FEB1-410A-B63D-FFFB298FF696}" type="parTrans" cxnId="{25E451E9-33B4-494A-9645-863F85B6AAD1}">
      <dgm:prSet/>
      <dgm:spPr/>
      <dgm:t>
        <a:bodyPr/>
        <a:lstStyle/>
        <a:p>
          <a:pPr algn="ctr"/>
          <a:endParaRPr lang="ru-RU"/>
        </a:p>
      </dgm:t>
    </dgm:pt>
    <dgm:pt modelId="{7BCD36C7-3EB0-4D5D-8DA1-C9076F412973}" type="sibTrans" cxnId="{25E451E9-33B4-494A-9645-863F85B6AAD1}">
      <dgm:prSet/>
      <dgm:spPr/>
      <dgm:t>
        <a:bodyPr/>
        <a:lstStyle/>
        <a:p>
          <a:pPr algn="ctr"/>
          <a:endParaRPr lang="ru-RU"/>
        </a:p>
      </dgm:t>
    </dgm:pt>
    <dgm:pt modelId="{DB00E73E-0788-4A89-B779-E6C4173ED5EC}" type="asst">
      <dgm:prSet phldrT="[Текст]"/>
      <dgm:spPr/>
      <dgm:t>
        <a:bodyPr/>
        <a:lstStyle/>
        <a:p>
          <a:pPr algn="ctr"/>
          <a:r>
            <a:rPr lang="ru-RU"/>
            <a:t>Федеральный бюджет</a:t>
          </a:r>
        </a:p>
      </dgm:t>
    </dgm:pt>
    <dgm:pt modelId="{6FEA8D46-BC68-45DB-9B16-FA787C60A13A}" type="parTrans" cxnId="{20104274-0714-4329-8B7E-FB07B68F1118}">
      <dgm:prSet/>
      <dgm:spPr/>
      <dgm:t>
        <a:bodyPr/>
        <a:lstStyle/>
        <a:p>
          <a:pPr algn="ctr"/>
          <a:endParaRPr lang="ru-RU"/>
        </a:p>
      </dgm:t>
    </dgm:pt>
    <dgm:pt modelId="{4BA11CF6-F6AF-4118-A6BD-D97635083D99}" type="sibTrans" cxnId="{20104274-0714-4329-8B7E-FB07B68F1118}">
      <dgm:prSet/>
      <dgm:spPr/>
      <dgm:t>
        <a:bodyPr/>
        <a:lstStyle/>
        <a:p>
          <a:pPr algn="ctr"/>
          <a:endParaRPr lang="ru-RU"/>
        </a:p>
      </dgm:t>
    </dgm:pt>
    <dgm:pt modelId="{ED3FE058-E1DF-4B01-8B8D-5A4614A02214}" type="pres">
      <dgm:prSet presAssocID="{CAF51B63-62E6-4F42-B685-E637AF2F7F87}" presName="hierChild1" presStyleCnt="0">
        <dgm:presLayoutVars>
          <dgm:orgChart val="1"/>
          <dgm:chPref val="1"/>
          <dgm:dir/>
          <dgm:animOne val="branch"/>
          <dgm:animLvl val="lvl"/>
          <dgm:resizeHandles/>
        </dgm:presLayoutVars>
      </dgm:prSet>
      <dgm:spPr/>
      <dgm:t>
        <a:bodyPr/>
        <a:lstStyle/>
        <a:p>
          <a:endParaRPr lang="ru-RU"/>
        </a:p>
      </dgm:t>
    </dgm:pt>
    <dgm:pt modelId="{9F9B7861-CB3A-46C1-9214-2134B964C52C}" type="pres">
      <dgm:prSet presAssocID="{01D4442F-AADD-4FF0-852E-19B8909FD425}" presName="hierRoot1" presStyleCnt="0">
        <dgm:presLayoutVars>
          <dgm:hierBranch val="init"/>
        </dgm:presLayoutVars>
      </dgm:prSet>
      <dgm:spPr/>
    </dgm:pt>
    <dgm:pt modelId="{8299A2B4-5481-45EC-92D4-EAB6F4B7AABA}" type="pres">
      <dgm:prSet presAssocID="{01D4442F-AADD-4FF0-852E-19B8909FD425}" presName="rootComposite1" presStyleCnt="0"/>
      <dgm:spPr/>
    </dgm:pt>
    <dgm:pt modelId="{99248997-5AE4-41B6-934F-CB7AB19B5D31}" type="pres">
      <dgm:prSet presAssocID="{01D4442F-AADD-4FF0-852E-19B8909FD425}" presName="rootText1" presStyleLbl="node0" presStyleIdx="0" presStyleCnt="2" custScaleX="82645" custScaleY="82645" custLinFactNeighborX="21157" custLinFactNeighborY="-287">
        <dgm:presLayoutVars>
          <dgm:chPref val="3"/>
        </dgm:presLayoutVars>
      </dgm:prSet>
      <dgm:spPr/>
      <dgm:t>
        <a:bodyPr/>
        <a:lstStyle/>
        <a:p>
          <a:endParaRPr lang="ru-RU"/>
        </a:p>
      </dgm:t>
    </dgm:pt>
    <dgm:pt modelId="{49055F45-8D36-4121-91B4-A9AB2F5C07BC}" type="pres">
      <dgm:prSet presAssocID="{01D4442F-AADD-4FF0-852E-19B8909FD425}" presName="rootConnector1" presStyleLbl="node1" presStyleIdx="0" presStyleCnt="0"/>
      <dgm:spPr/>
      <dgm:t>
        <a:bodyPr/>
        <a:lstStyle/>
        <a:p>
          <a:endParaRPr lang="ru-RU"/>
        </a:p>
      </dgm:t>
    </dgm:pt>
    <dgm:pt modelId="{67FB425C-EABF-4DE8-BE15-52C87C22D8EB}" type="pres">
      <dgm:prSet presAssocID="{01D4442F-AADD-4FF0-852E-19B8909FD425}" presName="hierChild2" presStyleCnt="0"/>
      <dgm:spPr/>
    </dgm:pt>
    <dgm:pt modelId="{61EB3BD8-2D1E-4178-897F-A8769CEA8956}" type="pres">
      <dgm:prSet presAssocID="{01D4442F-AADD-4FF0-852E-19B8909FD425}" presName="hierChild3" presStyleCnt="0"/>
      <dgm:spPr/>
    </dgm:pt>
    <dgm:pt modelId="{FDC487B6-8243-41FE-A514-80543A270B5D}" type="pres">
      <dgm:prSet presAssocID="{0F336959-7BAF-4B50-96D7-0412B4CD6735}" presName="Name111" presStyleLbl="parChTrans1D2" presStyleIdx="0" presStyleCnt="2"/>
      <dgm:spPr/>
      <dgm:t>
        <a:bodyPr/>
        <a:lstStyle/>
        <a:p>
          <a:endParaRPr lang="ru-RU"/>
        </a:p>
      </dgm:t>
    </dgm:pt>
    <dgm:pt modelId="{06AAE166-9766-4E1A-86AC-3891522D0829}" type="pres">
      <dgm:prSet presAssocID="{BED2B97B-9035-448C-BB2C-5447175D728F}" presName="hierRoot3" presStyleCnt="0">
        <dgm:presLayoutVars>
          <dgm:hierBranch val="init"/>
        </dgm:presLayoutVars>
      </dgm:prSet>
      <dgm:spPr/>
    </dgm:pt>
    <dgm:pt modelId="{79BAD3A2-1BD5-4CB0-853B-E8CC9F47BE46}" type="pres">
      <dgm:prSet presAssocID="{BED2B97B-9035-448C-BB2C-5447175D728F}" presName="rootComposite3" presStyleCnt="0"/>
      <dgm:spPr/>
    </dgm:pt>
    <dgm:pt modelId="{EF8B0824-4F8F-48F3-A093-B50F347C32C0}" type="pres">
      <dgm:prSet presAssocID="{BED2B97B-9035-448C-BB2C-5447175D728F}" presName="rootText3" presStyleLbl="asst1" presStyleIdx="0" presStyleCnt="5" custScaleX="82645" custScaleY="82645" custLinFactNeighborX="-23508">
        <dgm:presLayoutVars>
          <dgm:chPref val="3"/>
        </dgm:presLayoutVars>
      </dgm:prSet>
      <dgm:spPr/>
      <dgm:t>
        <a:bodyPr/>
        <a:lstStyle/>
        <a:p>
          <a:endParaRPr lang="ru-RU"/>
        </a:p>
      </dgm:t>
    </dgm:pt>
    <dgm:pt modelId="{5736F706-FC7A-4ACF-B4B6-67316BADD3E3}" type="pres">
      <dgm:prSet presAssocID="{BED2B97B-9035-448C-BB2C-5447175D728F}" presName="rootConnector3" presStyleLbl="asst1" presStyleIdx="0" presStyleCnt="5"/>
      <dgm:spPr/>
      <dgm:t>
        <a:bodyPr/>
        <a:lstStyle/>
        <a:p>
          <a:endParaRPr lang="ru-RU"/>
        </a:p>
      </dgm:t>
    </dgm:pt>
    <dgm:pt modelId="{A58813AC-E181-48E5-95E6-D4CC50A6E194}" type="pres">
      <dgm:prSet presAssocID="{BED2B97B-9035-448C-BB2C-5447175D728F}" presName="hierChild6" presStyleCnt="0"/>
      <dgm:spPr/>
    </dgm:pt>
    <dgm:pt modelId="{363A7F08-97D2-496B-BC5F-E09611037CBB}" type="pres">
      <dgm:prSet presAssocID="{BED2B97B-9035-448C-BB2C-5447175D728F}" presName="hierChild7" presStyleCnt="0"/>
      <dgm:spPr/>
    </dgm:pt>
    <dgm:pt modelId="{75DE7580-9A64-484C-B1FE-E598F27B4008}" type="pres">
      <dgm:prSet presAssocID="{A445C574-7A77-4DB7-B8D6-9B211158A8B6}" presName="Name111" presStyleLbl="parChTrans1D2" presStyleIdx="1" presStyleCnt="2"/>
      <dgm:spPr/>
      <dgm:t>
        <a:bodyPr/>
        <a:lstStyle/>
        <a:p>
          <a:endParaRPr lang="ru-RU"/>
        </a:p>
      </dgm:t>
    </dgm:pt>
    <dgm:pt modelId="{9E860A12-4A70-4F78-8D9E-4AA3603FBB12}" type="pres">
      <dgm:prSet presAssocID="{A56DD193-6B87-4A8E-8856-D58C6E6550C2}" presName="hierRoot3" presStyleCnt="0">
        <dgm:presLayoutVars>
          <dgm:hierBranch val="init"/>
        </dgm:presLayoutVars>
      </dgm:prSet>
      <dgm:spPr/>
    </dgm:pt>
    <dgm:pt modelId="{47ED054C-9C3E-46DC-B786-E41E1D6FC152}" type="pres">
      <dgm:prSet presAssocID="{A56DD193-6B87-4A8E-8856-D58C6E6550C2}" presName="rootComposite3" presStyleCnt="0"/>
      <dgm:spPr/>
    </dgm:pt>
    <dgm:pt modelId="{B507C457-84F3-4CA2-9F55-2E2C7090DE35}" type="pres">
      <dgm:prSet presAssocID="{A56DD193-6B87-4A8E-8856-D58C6E6550C2}" presName="rootText3" presStyleLbl="asst1" presStyleIdx="1" presStyleCnt="5" custScaleX="82645" custScaleY="82645">
        <dgm:presLayoutVars>
          <dgm:chPref val="3"/>
        </dgm:presLayoutVars>
      </dgm:prSet>
      <dgm:spPr/>
      <dgm:t>
        <a:bodyPr/>
        <a:lstStyle/>
        <a:p>
          <a:endParaRPr lang="ru-RU"/>
        </a:p>
      </dgm:t>
    </dgm:pt>
    <dgm:pt modelId="{FCC88570-8D7D-440B-8838-3D9BF76DAD9B}" type="pres">
      <dgm:prSet presAssocID="{A56DD193-6B87-4A8E-8856-D58C6E6550C2}" presName="rootConnector3" presStyleLbl="asst1" presStyleIdx="1" presStyleCnt="5"/>
      <dgm:spPr/>
      <dgm:t>
        <a:bodyPr/>
        <a:lstStyle/>
        <a:p>
          <a:endParaRPr lang="ru-RU"/>
        </a:p>
      </dgm:t>
    </dgm:pt>
    <dgm:pt modelId="{D90125D5-A134-443C-8C52-C4E7A87D6F86}" type="pres">
      <dgm:prSet presAssocID="{A56DD193-6B87-4A8E-8856-D58C6E6550C2}" presName="hierChild6" presStyleCnt="0"/>
      <dgm:spPr/>
    </dgm:pt>
    <dgm:pt modelId="{19F8DC4D-6C3B-4582-9BE3-BB63D8507494}" type="pres">
      <dgm:prSet presAssocID="{A56DD193-6B87-4A8E-8856-D58C6E6550C2}" presName="hierChild7" presStyleCnt="0"/>
      <dgm:spPr/>
    </dgm:pt>
    <dgm:pt modelId="{D34516C3-C77B-47B2-8CA0-5E3BD7C5D7D3}" type="pres">
      <dgm:prSet presAssocID="{11D61190-55EA-4102-9519-F43B5A183AE2}" presName="Name111" presStyleLbl="parChTrans1D3" presStyleIdx="0" presStyleCnt="3"/>
      <dgm:spPr/>
      <dgm:t>
        <a:bodyPr/>
        <a:lstStyle/>
        <a:p>
          <a:endParaRPr lang="ru-RU"/>
        </a:p>
      </dgm:t>
    </dgm:pt>
    <dgm:pt modelId="{FDDD0F72-0EC2-4E02-B8A4-C2E3996AE9B3}" type="pres">
      <dgm:prSet presAssocID="{2EAC96B9-48CB-4813-9D65-903FF0CFBF4E}" presName="hierRoot3" presStyleCnt="0">
        <dgm:presLayoutVars>
          <dgm:hierBranch val="init"/>
        </dgm:presLayoutVars>
      </dgm:prSet>
      <dgm:spPr/>
    </dgm:pt>
    <dgm:pt modelId="{2F138A3D-654B-475A-83EF-DDB2F62D2B38}" type="pres">
      <dgm:prSet presAssocID="{2EAC96B9-48CB-4813-9D65-903FF0CFBF4E}" presName="rootComposite3" presStyleCnt="0"/>
      <dgm:spPr/>
    </dgm:pt>
    <dgm:pt modelId="{42A5543D-DABE-4B48-A17C-0DD077E94426}" type="pres">
      <dgm:prSet presAssocID="{2EAC96B9-48CB-4813-9D65-903FF0CFBF4E}" presName="rootText3" presStyleLbl="asst1" presStyleIdx="2" presStyleCnt="5" custScaleX="82645" custScaleY="82645" custLinFactNeighborY="-9770">
        <dgm:presLayoutVars>
          <dgm:chPref val="3"/>
        </dgm:presLayoutVars>
      </dgm:prSet>
      <dgm:spPr/>
      <dgm:t>
        <a:bodyPr/>
        <a:lstStyle/>
        <a:p>
          <a:endParaRPr lang="ru-RU"/>
        </a:p>
      </dgm:t>
    </dgm:pt>
    <dgm:pt modelId="{BE6305B9-A663-43CA-9D07-386F4B7852EF}" type="pres">
      <dgm:prSet presAssocID="{2EAC96B9-48CB-4813-9D65-903FF0CFBF4E}" presName="rootConnector3" presStyleLbl="asst1" presStyleIdx="2" presStyleCnt="5"/>
      <dgm:spPr/>
      <dgm:t>
        <a:bodyPr/>
        <a:lstStyle/>
        <a:p>
          <a:endParaRPr lang="ru-RU"/>
        </a:p>
      </dgm:t>
    </dgm:pt>
    <dgm:pt modelId="{2E819C52-0627-4298-96EA-55C8861634C9}" type="pres">
      <dgm:prSet presAssocID="{2EAC96B9-48CB-4813-9D65-903FF0CFBF4E}" presName="hierChild6" presStyleCnt="0"/>
      <dgm:spPr/>
    </dgm:pt>
    <dgm:pt modelId="{07E6742A-4D1B-4A62-8D57-317930979D54}" type="pres">
      <dgm:prSet presAssocID="{2EAC96B9-48CB-4813-9D65-903FF0CFBF4E}" presName="hierChild7" presStyleCnt="0"/>
      <dgm:spPr/>
    </dgm:pt>
    <dgm:pt modelId="{9A25FBB4-6376-464A-9402-749CD04A8EC1}" type="pres">
      <dgm:prSet presAssocID="{0801DE38-901D-40A7-921A-EB15ED5D992A}" presName="Name111" presStyleLbl="parChTrans1D3" presStyleIdx="1" presStyleCnt="3"/>
      <dgm:spPr/>
      <dgm:t>
        <a:bodyPr/>
        <a:lstStyle/>
        <a:p>
          <a:endParaRPr lang="ru-RU"/>
        </a:p>
      </dgm:t>
    </dgm:pt>
    <dgm:pt modelId="{503812FC-ECF9-443F-880D-EBF6A79BA361}" type="pres">
      <dgm:prSet presAssocID="{C4607BF8-0636-4D55-A361-BB53C5C69435}" presName="hierRoot3" presStyleCnt="0">
        <dgm:presLayoutVars>
          <dgm:hierBranch val="init"/>
        </dgm:presLayoutVars>
      </dgm:prSet>
      <dgm:spPr/>
    </dgm:pt>
    <dgm:pt modelId="{50F88243-9179-4B29-9BA5-7BB0A1061D48}" type="pres">
      <dgm:prSet presAssocID="{C4607BF8-0636-4D55-A361-BB53C5C69435}" presName="rootComposite3" presStyleCnt="0"/>
      <dgm:spPr/>
    </dgm:pt>
    <dgm:pt modelId="{1CABB279-8158-486D-8C40-E619F552666B}" type="pres">
      <dgm:prSet presAssocID="{C4607BF8-0636-4D55-A361-BB53C5C69435}" presName="rootText3" presStyleLbl="asst1" presStyleIdx="3" presStyleCnt="5" custScaleX="82645" custScaleY="82645" custLinFactNeighborX="10924" custLinFactNeighborY="48423">
        <dgm:presLayoutVars>
          <dgm:chPref val="3"/>
        </dgm:presLayoutVars>
      </dgm:prSet>
      <dgm:spPr/>
      <dgm:t>
        <a:bodyPr/>
        <a:lstStyle/>
        <a:p>
          <a:endParaRPr lang="ru-RU"/>
        </a:p>
      </dgm:t>
    </dgm:pt>
    <dgm:pt modelId="{B3136180-2A23-4BDC-9EB3-7B79835066FC}" type="pres">
      <dgm:prSet presAssocID="{C4607BF8-0636-4D55-A361-BB53C5C69435}" presName="rootConnector3" presStyleLbl="asst1" presStyleIdx="3" presStyleCnt="5"/>
      <dgm:spPr/>
      <dgm:t>
        <a:bodyPr/>
        <a:lstStyle/>
        <a:p>
          <a:endParaRPr lang="ru-RU"/>
        </a:p>
      </dgm:t>
    </dgm:pt>
    <dgm:pt modelId="{8671A0DB-9CBE-4335-9816-59FBBFB79318}" type="pres">
      <dgm:prSet presAssocID="{C4607BF8-0636-4D55-A361-BB53C5C69435}" presName="hierChild6" presStyleCnt="0"/>
      <dgm:spPr/>
    </dgm:pt>
    <dgm:pt modelId="{39779737-9BEB-4119-9641-AF8FB35A1D4E}" type="pres">
      <dgm:prSet presAssocID="{C4607BF8-0636-4D55-A361-BB53C5C69435}" presName="hierChild7" presStyleCnt="0"/>
      <dgm:spPr/>
    </dgm:pt>
    <dgm:pt modelId="{90CBB14C-8CB7-4810-BEEE-8F09AB6BE138}" type="pres">
      <dgm:prSet presAssocID="{6EAD3037-FEB1-410A-B63D-FFFB298FF696}" presName="Name111" presStyleLbl="parChTrans1D3" presStyleIdx="2" presStyleCnt="3"/>
      <dgm:spPr/>
      <dgm:t>
        <a:bodyPr/>
        <a:lstStyle/>
        <a:p>
          <a:endParaRPr lang="ru-RU"/>
        </a:p>
      </dgm:t>
    </dgm:pt>
    <dgm:pt modelId="{AD0BBBBC-C044-4CAE-8F12-54B9D6B90EB5}" type="pres">
      <dgm:prSet presAssocID="{01D0302A-A0CD-44CB-838A-9478B56647F6}" presName="hierRoot3" presStyleCnt="0">
        <dgm:presLayoutVars>
          <dgm:hierBranch val="init"/>
        </dgm:presLayoutVars>
      </dgm:prSet>
      <dgm:spPr/>
    </dgm:pt>
    <dgm:pt modelId="{B1755DDF-93FC-485A-8CE2-1978CBB0C1D4}" type="pres">
      <dgm:prSet presAssocID="{01D0302A-A0CD-44CB-838A-9478B56647F6}" presName="rootComposite3" presStyleCnt="0"/>
      <dgm:spPr/>
    </dgm:pt>
    <dgm:pt modelId="{CCA3319A-0A55-4E78-8768-A1368896BD01}" type="pres">
      <dgm:prSet presAssocID="{01D0302A-A0CD-44CB-838A-9478B56647F6}" presName="rootText3" presStyleLbl="asst1" presStyleIdx="4" presStyleCnt="5" custScaleX="82645" custScaleY="82645" custLinFactX="47928" custLinFactNeighborX="100000" custLinFactNeighborY="53863">
        <dgm:presLayoutVars>
          <dgm:chPref val="3"/>
        </dgm:presLayoutVars>
      </dgm:prSet>
      <dgm:spPr/>
      <dgm:t>
        <a:bodyPr/>
        <a:lstStyle/>
        <a:p>
          <a:endParaRPr lang="ru-RU"/>
        </a:p>
      </dgm:t>
    </dgm:pt>
    <dgm:pt modelId="{9696EAF5-530E-4252-9E60-3416F52DEA1F}" type="pres">
      <dgm:prSet presAssocID="{01D0302A-A0CD-44CB-838A-9478B56647F6}" presName="rootConnector3" presStyleLbl="asst1" presStyleIdx="4" presStyleCnt="5"/>
      <dgm:spPr/>
      <dgm:t>
        <a:bodyPr/>
        <a:lstStyle/>
        <a:p>
          <a:endParaRPr lang="ru-RU"/>
        </a:p>
      </dgm:t>
    </dgm:pt>
    <dgm:pt modelId="{FADA68D1-1ACA-451B-8606-D337403D1D36}" type="pres">
      <dgm:prSet presAssocID="{01D0302A-A0CD-44CB-838A-9478B56647F6}" presName="hierChild6" presStyleCnt="0"/>
      <dgm:spPr/>
    </dgm:pt>
    <dgm:pt modelId="{3AD35363-D772-4A7F-870E-860CFE8B07F1}" type="pres">
      <dgm:prSet presAssocID="{01D0302A-A0CD-44CB-838A-9478B56647F6}" presName="hierChild7" presStyleCnt="0"/>
      <dgm:spPr/>
    </dgm:pt>
    <dgm:pt modelId="{38DE2E9A-38BF-47D8-BA7B-E27A3D3EA692}" type="pres">
      <dgm:prSet presAssocID="{DB00E73E-0788-4A89-B779-E6C4173ED5EC}" presName="hierRoot1" presStyleCnt="0">
        <dgm:presLayoutVars>
          <dgm:hierBranch val="init"/>
        </dgm:presLayoutVars>
      </dgm:prSet>
      <dgm:spPr/>
    </dgm:pt>
    <dgm:pt modelId="{8D4CCA2F-8865-4E2F-87F7-B9CF7089E577}" type="pres">
      <dgm:prSet presAssocID="{DB00E73E-0788-4A89-B779-E6C4173ED5EC}" presName="rootComposite1" presStyleCnt="0"/>
      <dgm:spPr/>
    </dgm:pt>
    <dgm:pt modelId="{DB68A9B4-7B84-4F18-AEC4-39ADE33E496A}" type="pres">
      <dgm:prSet presAssocID="{DB00E73E-0788-4A89-B779-E6C4173ED5EC}" presName="rootText1" presStyleLbl="node0" presStyleIdx="1" presStyleCnt="2" custScaleX="82645" custScaleY="82645" custLinFactX="-75068" custLinFactY="100000" custLinFactNeighborX="-100000" custLinFactNeighborY="161123">
        <dgm:presLayoutVars>
          <dgm:chPref val="3"/>
        </dgm:presLayoutVars>
      </dgm:prSet>
      <dgm:spPr/>
      <dgm:t>
        <a:bodyPr/>
        <a:lstStyle/>
        <a:p>
          <a:endParaRPr lang="ru-RU"/>
        </a:p>
      </dgm:t>
    </dgm:pt>
    <dgm:pt modelId="{C114FDF3-4A81-452D-B7F0-B9B0CEA8B575}" type="pres">
      <dgm:prSet presAssocID="{DB00E73E-0788-4A89-B779-E6C4173ED5EC}" presName="rootConnector1" presStyleLbl="asst0" presStyleIdx="0" presStyleCnt="0"/>
      <dgm:spPr/>
      <dgm:t>
        <a:bodyPr/>
        <a:lstStyle/>
        <a:p>
          <a:endParaRPr lang="ru-RU"/>
        </a:p>
      </dgm:t>
    </dgm:pt>
    <dgm:pt modelId="{85230B3A-22F1-40C7-A301-70E3E20DA5A1}" type="pres">
      <dgm:prSet presAssocID="{DB00E73E-0788-4A89-B779-E6C4173ED5EC}" presName="hierChild2" presStyleCnt="0"/>
      <dgm:spPr/>
    </dgm:pt>
    <dgm:pt modelId="{648D293E-04FB-41D8-83CE-F9682D83E053}" type="pres">
      <dgm:prSet presAssocID="{DB00E73E-0788-4A89-B779-E6C4173ED5EC}" presName="hierChild3" presStyleCnt="0"/>
      <dgm:spPr/>
    </dgm:pt>
  </dgm:ptLst>
  <dgm:cxnLst>
    <dgm:cxn modelId="{8E36E792-91DF-4A79-9638-7D8175D158FE}" type="presOf" srcId="{CAF51B63-62E6-4F42-B685-E637AF2F7F87}" destId="{ED3FE058-E1DF-4B01-8B8D-5A4614A02214}" srcOrd="0" destOrd="0" presId="urn:microsoft.com/office/officeart/2005/8/layout/orgChart1"/>
    <dgm:cxn modelId="{23E3ED99-ACAB-4560-88B2-DADC72ACFC60}" type="presOf" srcId="{A56DD193-6B87-4A8E-8856-D58C6E6550C2}" destId="{FCC88570-8D7D-440B-8838-3D9BF76DAD9B}" srcOrd="1" destOrd="0" presId="urn:microsoft.com/office/officeart/2005/8/layout/orgChart1"/>
    <dgm:cxn modelId="{F167890C-DD39-4732-95E4-00678F7FC03B}" srcId="{01D4442F-AADD-4FF0-852E-19B8909FD425}" destId="{BED2B97B-9035-448C-BB2C-5447175D728F}" srcOrd="0" destOrd="0" parTransId="{0F336959-7BAF-4B50-96D7-0412B4CD6735}" sibTransId="{BB3F5422-95A8-43E0-9E96-CB07A4951AD1}"/>
    <dgm:cxn modelId="{70038B90-23A2-4EE2-8041-05FC8F8A1AD7}" type="presOf" srcId="{01D0302A-A0CD-44CB-838A-9478B56647F6}" destId="{CCA3319A-0A55-4E78-8768-A1368896BD01}" srcOrd="0" destOrd="0" presId="urn:microsoft.com/office/officeart/2005/8/layout/orgChart1"/>
    <dgm:cxn modelId="{EF072580-6656-4751-899A-937E08B41589}" srcId="{A56DD193-6B87-4A8E-8856-D58C6E6550C2}" destId="{2EAC96B9-48CB-4813-9D65-903FF0CFBF4E}" srcOrd="0" destOrd="0" parTransId="{11D61190-55EA-4102-9519-F43B5A183AE2}" sibTransId="{1C0A2394-D146-4A73-AED2-E4043E7C3546}"/>
    <dgm:cxn modelId="{6F07901A-2491-44D7-8B5E-454334D7A9B0}" type="presOf" srcId="{11D61190-55EA-4102-9519-F43B5A183AE2}" destId="{D34516C3-C77B-47B2-8CA0-5E3BD7C5D7D3}" srcOrd="0" destOrd="0" presId="urn:microsoft.com/office/officeart/2005/8/layout/orgChart1"/>
    <dgm:cxn modelId="{AE14C2A6-29C1-4582-B6A8-7A4A6DFDFE4B}" type="presOf" srcId="{01D4442F-AADD-4FF0-852E-19B8909FD425}" destId="{49055F45-8D36-4121-91B4-A9AB2F5C07BC}" srcOrd="1" destOrd="0" presId="urn:microsoft.com/office/officeart/2005/8/layout/orgChart1"/>
    <dgm:cxn modelId="{DBF0DF8E-49F3-400E-B800-6BFB73B90A22}" type="presOf" srcId="{2EAC96B9-48CB-4813-9D65-903FF0CFBF4E}" destId="{42A5543D-DABE-4B48-A17C-0DD077E94426}" srcOrd="0" destOrd="0" presId="urn:microsoft.com/office/officeart/2005/8/layout/orgChart1"/>
    <dgm:cxn modelId="{F8D9D34C-056E-4195-8FDD-C474A309F11D}" type="presOf" srcId="{A56DD193-6B87-4A8E-8856-D58C6E6550C2}" destId="{B507C457-84F3-4CA2-9F55-2E2C7090DE35}" srcOrd="0" destOrd="0" presId="urn:microsoft.com/office/officeart/2005/8/layout/orgChart1"/>
    <dgm:cxn modelId="{35DFF76D-6D2C-48F5-8B40-AD02B6A32F8C}" type="presOf" srcId="{6EAD3037-FEB1-410A-B63D-FFFB298FF696}" destId="{90CBB14C-8CB7-4810-BEEE-8F09AB6BE138}" srcOrd="0" destOrd="0" presId="urn:microsoft.com/office/officeart/2005/8/layout/orgChart1"/>
    <dgm:cxn modelId="{054D44A6-39E4-4E0B-98B2-51CDA511BD89}" type="presOf" srcId="{DB00E73E-0788-4A89-B779-E6C4173ED5EC}" destId="{C114FDF3-4A81-452D-B7F0-B9B0CEA8B575}" srcOrd="1" destOrd="0" presId="urn:microsoft.com/office/officeart/2005/8/layout/orgChart1"/>
    <dgm:cxn modelId="{586A5386-034C-42B0-9B45-BE36CD2FB463}" type="presOf" srcId="{BED2B97B-9035-448C-BB2C-5447175D728F}" destId="{5736F706-FC7A-4ACF-B4B6-67316BADD3E3}" srcOrd="1" destOrd="0" presId="urn:microsoft.com/office/officeart/2005/8/layout/orgChart1"/>
    <dgm:cxn modelId="{ACEC6072-88A4-46C3-9E4E-1DB4D9CFDF49}" type="presOf" srcId="{C4607BF8-0636-4D55-A361-BB53C5C69435}" destId="{B3136180-2A23-4BDC-9EB3-7B79835066FC}" srcOrd="1" destOrd="0" presId="urn:microsoft.com/office/officeart/2005/8/layout/orgChart1"/>
    <dgm:cxn modelId="{9D7B3702-3C02-4872-8C5C-C56F722EE18D}" type="presOf" srcId="{DB00E73E-0788-4A89-B779-E6C4173ED5EC}" destId="{DB68A9B4-7B84-4F18-AEC4-39ADE33E496A}" srcOrd="0" destOrd="0" presId="urn:microsoft.com/office/officeart/2005/8/layout/orgChart1"/>
    <dgm:cxn modelId="{251D8499-D31F-423D-8124-5A929BA4B80A}" srcId="{01D4442F-AADD-4FF0-852E-19B8909FD425}" destId="{A56DD193-6B87-4A8E-8856-D58C6E6550C2}" srcOrd="1" destOrd="0" parTransId="{A445C574-7A77-4DB7-B8D6-9B211158A8B6}" sibTransId="{DBD86014-084F-4FA6-B10B-45349EE1B086}"/>
    <dgm:cxn modelId="{AC1BC07E-4F46-4789-9A14-AC22A398E59B}" type="presOf" srcId="{0F336959-7BAF-4B50-96D7-0412B4CD6735}" destId="{FDC487B6-8243-41FE-A514-80543A270B5D}" srcOrd="0" destOrd="0" presId="urn:microsoft.com/office/officeart/2005/8/layout/orgChart1"/>
    <dgm:cxn modelId="{3EE2A1FD-040F-4DC3-B041-AB92CAA2C790}" type="presOf" srcId="{0801DE38-901D-40A7-921A-EB15ED5D992A}" destId="{9A25FBB4-6376-464A-9402-749CD04A8EC1}" srcOrd="0" destOrd="0" presId="urn:microsoft.com/office/officeart/2005/8/layout/orgChart1"/>
    <dgm:cxn modelId="{DACAD378-E81C-41ED-AB50-6CA3763063F7}" srcId="{CAF51B63-62E6-4F42-B685-E637AF2F7F87}" destId="{01D4442F-AADD-4FF0-852E-19B8909FD425}" srcOrd="0" destOrd="0" parTransId="{88821728-7788-4770-A5F4-F85A75AE1C71}" sibTransId="{B2DD0F27-D05F-483C-8845-BBFF5051234E}"/>
    <dgm:cxn modelId="{CE0473B5-BEE2-41C2-AFCD-71EC2FCF4E53}" type="presOf" srcId="{C4607BF8-0636-4D55-A361-BB53C5C69435}" destId="{1CABB279-8158-486D-8C40-E619F552666B}" srcOrd="0" destOrd="0" presId="urn:microsoft.com/office/officeart/2005/8/layout/orgChart1"/>
    <dgm:cxn modelId="{25E451E9-33B4-494A-9645-863F85B6AAD1}" srcId="{A56DD193-6B87-4A8E-8856-D58C6E6550C2}" destId="{01D0302A-A0CD-44CB-838A-9478B56647F6}" srcOrd="2" destOrd="0" parTransId="{6EAD3037-FEB1-410A-B63D-FFFB298FF696}" sibTransId="{7BCD36C7-3EB0-4D5D-8DA1-C9076F412973}"/>
    <dgm:cxn modelId="{21D34540-E63D-4BFD-AA7E-4C3C5027A5A5}" srcId="{A56DD193-6B87-4A8E-8856-D58C6E6550C2}" destId="{C4607BF8-0636-4D55-A361-BB53C5C69435}" srcOrd="1" destOrd="0" parTransId="{0801DE38-901D-40A7-921A-EB15ED5D992A}" sibTransId="{8651DAFA-F198-46A5-A7A8-B93A5E5C5A61}"/>
    <dgm:cxn modelId="{525CA06F-3E64-4EEE-9FEB-8BEEA25EADA4}" type="presOf" srcId="{2EAC96B9-48CB-4813-9D65-903FF0CFBF4E}" destId="{BE6305B9-A663-43CA-9D07-386F4B7852EF}" srcOrd="1" destOrd="0" presId="urn:microsoft.com/office/officeart/2005/8/layout/orgChart1"/>
    <dgm:cxn modelId="{20104274-0714-4329-8B7E-FB07B68F1118}" srcId="{CAF51B63-62E6-4F42-B685-E637AF2F7F87}" destId="{DB00E73E-0788-4A89-B779-E6C4173ED5EC}" srcOrd="1" destOrd="0" parTransId="{6FEA8D46-BC68-45DB-9B16-FA787C60A13A}" sibTransId="{4BA11CF6-F6AF-4118-A6BD-D97635083D99}"/>
    <dgm:cxn modelId="{F26DB3C9-102E-4BF4-A65E-C4EC32AC5022}" type="presOf" srcId="{A445C574-7A77-4DB7-B8D6-9B211158A8B6}" destId="{75DE7580-9A64-484C-B1FE-E598F27B4008}" srcOrd="0" destOrd="0" presId="urn:microsoft.com/office/officeart/2005/8/layout/orgChart1"/>
    <dgm:cxn modelId="{3535649C-DC81-4478-A924-17847D625B2A}" type="presOf" srcId="{01D4442F-AADD-4FF0-852E-19B8909FD425}" destId="{99248997-5AE4-41B6-934F-CB7AB19B5D31}" srcOrd="0" destOrd="0" presId="urn:microsoft.com/office/officeart/2005/8/layout/orgChart1"/>
    <dgm:cxn modelId="{EC0938AC-D252-4DA8-AF59-53124510626F}" type="presOf" srcId="{01D0302A-A0CD-44CB-838A-9478B56647F6}" destId="{9696EAF5-530E-4252-9E60-3416F52DEA1F}" srcOrd="1" destOrd="0" presId="urn:microsoft.com/office/officeart/2005/8/layout/orgChart1"/>
    <dgm:cxn modelId="{A0DB6E59-6449-4BF4-A22A-1F87BE7C54A3}" type="presOf" srcId="{BED2B97B-9035-448C-BB2C-5447175D728F}" destId="{EF8B0824-4F8F-48F3-A093-B50F347C32C0}" srcOrd="0" destOrd="0" presId="urn:microsoft.com/office/officeart/2005/8/layout/orgChart1"/>
    <dgm:cxn modelId="{87BFA306-097C-4045-8E12-699EE6062FF1}" type="presParOf" srcId="{ED3FE058-E1DF-4B01-8B8D-5A4614A02214}" destId="{9F9B7861-CB3A-46C1-9214-2134B964C52C}" srcOrd="0" destOrd="0" presId="urn:microsoft.com/office/officeart/2005/8/layout/orgChart1"/>
    <dgm:cxn modelId="{7FC41B65-112C-41D4-BC65-E35BA2C22367}" type="presParOf" srcId="{9F9B7861-CB3A-46C1-9214-2134B964C52C}" destId="{8299A2B4-5481-45EC-92D4-EAB6F4B7AABA}" srcOrd="0" destOrd="0" presId="urn:microsoft.com/office/officeart/2005/8/layout/orgChart1"/>
    <dgm:cxn modelId="{B68119B8-B0F5-4EEE-BA78-AFADF03A4F89}" type="presParOf" srcId="{8299A2B4-5481-45EC-92D4-EAB6F4B7AABA}" destId="{99248997-5AE4-41B6-934F-CB7AB19B5D31}" srcOrd="0" destOrd="0" presId="urn:microsoft.com/office/officeart/2005/8/layout/orgChart1"/>
    <dgm:cxn modelId="{E8F1736E-FD61-4736-B25B-256ECD61CEAB}" type="presParOf" srcId="{8299A2B4-5481-45EC-92D4-EAB6F4B7AABA}" destId="{49055F45-8D36-4121-91B4-A9AB2F5C07BC}" srcOrd="1" destOrd="0" presId="urn:microsoft.com/office/officeart/2005/8/layout/orgChart1"/>
    <dgm:cxn modelId="{3E29474D-F24D-4A5F-9383-A9F692D4F427}" type="presParOf" srcId="{9F9B7861-CB3A-46C1-9214-2134B964C52C}" destId="{67FB425C-EABF-4DE8-BE15-52C87C22D8EB}" srcOrd="1" destOrd="0" presId="urn:microsoft.com/office/officeart/2005/8/layout/orgChart1"/>
    <dgm:cxn modelId="{477E543A-B6EC-4A35-A07F-F67A1DAA02EB}" type="presParOf" srcId="{9F9B7861-CB3A-46C1-9214-2134B964C52C}" destId="{61EB3BD8-2D1E-4178-897F-A8769CEA8956}" srcOrd="2" destOrd="0" presId="urn:microsoft.com/office/officeart/2005/8/layout/orgChart1"/>
    <dgm:cxn modelId="{08E8E73E-3758-4D45-B35D-CAD2ECF8336B}" type="presParOf" srcId="{61EB3BD8-2D1E-4178-897F-A8769CEA8956}" destId="{FDC487B6-8243-41FE-A514-80543A270B5D}" srcOrd="0" destOrd="0" presId="urn:microsoft.com/office/officeart/2005/8/layout/orgChart1"/>
    <dgm:cxn modelId="{EC6804E3-2C1C-4E5E-B409-067AB42DAC78}" type="presParOf" srcId="{61EB3BD8-2D1E-4178-897F-A8769CEA8956}" destId="{06AAE166-9766-4E1A-86AC-3891522D0829}" srcOrd="1" destOrd="0" presId="urn:microsoft.com/office/officeart/2005/8/layout/orgChart1"/>
    <dgm:cxn modelId="{EEA7CCC4-31E9-4D1A-96C3-F5A678C19BDE}" type="presParOf" srcId="{06AAE166-9766-4E1A-86AC-3891522D0829}" destId="{79BAD3A2-1BD5-4CB0-853B-E8CC9F47BE46}" srcOrd="0" destOrd="0" presId="urn:microsoft.com/office/officeart/2005/8/layout/orgChart1"/>
    <dgm:cxn modelId="{E2773B27-44D3-4FBB-B003-71CF6B51D645}" type="presParOf" srcId="{79BAD3A2-1BD5-4CB0-853B-E8CC9F47BE46}" destId="{EF8B0824-4F8F-48F3-A093-B50F347C32C0}" srcOrd="0" destOrd="0" presId="urn:microsoft.com/office/officeart/2005/8/layout/orgChart1"/>
    <dgm:cxn modelId="{76BD570B-5BD2-4094-9A42-17827CE63974}" type="presParOf" srcId="{79BAD3A2-1BD5-4CB0-853B-E8CC9F47BE46}" destId="{5736F706-FC7A-4ACF-B4B6-67316BADD3E3}" srcOrd="1" destOrd="0" presId="urn:microsoft.com/office/officeart/2005/8/layout/orgChart1"/>
    <dgm:cxn modelId="{2177D37A-F8E8-4D95-81A4-97A829F63423}" type="presParOf" srcId="{06AAE166-9766-4E1A-86AC-3891522D0829}" destId="{A58813AC-E181-48E5-95E6-D4CC50A6E194}" srcOrd="1" destOrd="0" presId="urn:microsoft.com/office/officeart/2005/8/layout/orgChart1"/>
    <dgm:cxn modelId="{9BF14B6C-2CC9-41B7-8650-503B1A16FF37}" type="presParOf" srcId="{06AAE166-9766-4E1A-86AC-3891522D0829}" destId="{363A7F08-97D2-496B-BC5F-E09611037CBB}" srcOrd="2" destOrd="0" presId="urn:microsoft.com/office/officeart/2005/8/layout/orgChart1"/>
    <dgm:cxn modelId="{0E8706EF-ECE5-4E3F-A37C-248EAF886D75}" type="presParOf" srcId="{61EB3BD8-2D1E-4178-897F-A8769CEA8956}" destId="{75DE7580-9A64-484C-B1FE-E598F27B4008}" srcOrd="2" destOrd="0" presId="urn:microsoft.com/office/officeart/2005/8/layout/orgChart1"/>
    <dgm:cxn modelId="{1F3403AD-EA44-4606-A1D7-1F2F14F508E9}" type="presParOf" srcId="{61EB3BD8-2D1E-4178-897F-A8769CEA8956}" destId="{9E860A12-4A70-4F78-8D9E-4AA3603FBB12}" srcOrd="3" destOrd="0" presId="urn:microsoft.com/office/officeart/2005/8/layout/orgChart1"/>
    <dgm:cxn modelId="{9C2DE662-F875-47E3-BAFB-061B54C443D6}" type="presParOf" srcId="{9E860A12-4A70-4F78-8D9E-4AA3603FBB12}" destId="{47ED054C-9C3E-46DC-B786-E41E1D6FC152}" srcOrd="0" destOrd="0" presId="urn:microsoft.com/office/officeart/2005/8/layout/orgChart1"/>
    <dgm:cxn modelId="{58CE543C-6AE1-4C6B-B21A-8A1B24209F9B}" type="presParOf" srcId="{47ED054C-9C3E-46DC-B786-E41E1D6FC152}" destId="{B507C457-84F3-4CA2-9F55-2E2C7090DE35}" srcOrd="0" destOrd="0" presId="urn:microsoft.com/office/officeart/2005/8/layout/orgChart1"/>
    <dgm:cxn modelId="{91B244FE-8F86-4F31-9274-D36EDBD5C6DB}" type="presParOf" srcId="{47ED054C-9C3E-46DC-B786-E41E1D6FC152}" destId="{FCC88570-8D7D-440B-8838-3D9BF76DAD9B}" srcOrd="1" destOrd="0" presId="urn:microsoft.com/office/officeart/2005/8/layout/orgChart1"/>
    <dgm:cxn modelId="{76E3C260-4265-4A16-BB3D-BA98FEDFADBC}" type="presParOf" srcId="{9E860A12-4A70-4F78-8D9E-4AA3603FBB12}" destId="{D90125D5-A134-443C-8C52-C4E7A87D6F86}" srcOrd="1" destOrd="0" presId="urn:microsoft.com/office/officeart/2005/8/layout/orgChart1"/>
    <dgm:cxn modelId="{C941C0B3-9F28-4BCB-A592-65685E354E86}" type="presParOf" srcId="{9E860A12-4A70-4F78-8D9E-4AA3603FBB12}" destId="{19F8DC4D-6C3B-4582-9BE3-BB63D8507494}" srcOrd="2" destOrd="0" presId="urn:microsoft.com/office/officeart/2005/8/layout/orgChart1"/>
    <dgm:cxn modelId="{450D0056-59E3-4939-898E-8DD4AD29E859}" type="presParOf" srcId="{19F8DC4D-6C3B-4582-9BE3-BB63D8507494}" destId="{D34516C3-C77B-47B2-8CA0-5E3BD7C5D7D3}" srcOrd="0" destOrd="0" presId="urn:microsoft.com/office/officeart/2005/8/layout/orgChart1"/>
    <dgm:cxn modelId="{E44D03BF-ABB7-409E-8FF2-8E2C6F93F17C}" type="presParOf" srcId="{19F8DC4D-6C3B-4582-9BE3-BB63D8507494}" destId="{FDDD0F72-0EC2-4E02-B8A4-C2E3996AE9B3}" srcOrd="1" destOrd="0" presId="urn:microsoft.com/office/officeart/2005/8/layout/orgChart1"/>
    <dgm:cxn modelId="{45583371-19A4-4357-AB58-3067382F6098}" type="presParOf" srcId="{FDDD0F72-0EC2-4E02-B8A4-C2E3996AE9B3}" destId="{2F138A3D-654B-475A-83EF-DDB2F62D2B38}" srcOrd="0" destOrd="0" presId="urn:microsoft.com/office/officeart/2005/8/layout/orgChart1"/>
    <dgm:cxn modelId="{0A732134-7F91-4AE9-B369-043524F14556}" type="presParOf" srcId="{2F138A3D-654B-475A-83EF-DDB2F62D2B38}" destId="{42A5543D-DABE-4B48-A17C-0DD077E94426}" srcOrd="0" destOrd="0" presId="urn:microsoft.com/office/officeart/2005/8/layout/orgChart1"/>
    <dgm:cxn modelId="{2AA4498A-174C-4F0D-A7FC-CFD07975DEB1}" type="presParOf" srcId="{2F138A3D-654B-475A-83EF-DDB2F62D2B38}" destId="{BE6305B9-A663-43CA-9D07-386F4B7852EF}" srcOrd="1" destOrd="0" presId="urn:microsoft.com/office/officeart/2005/8/layout/orgChart1"/>
    <dgm:cxn modelId="{42F2A9EB-AB9B-479D-9250-795725DDF13B}" type="presParOf" srcId="{FDDD0F72-0EC2-4E02-B8A4-C2E3996AE9B3}" destId="{2E819C52-0627-4298-96EA-55C8861634C9}" srcOrd="1" destOrd="0" presId="urn:microsoft.com/office/officeart/2005/8/layout/orgChart1"/>
    <dgm:cxn modelId="{BEFF8516-ABEB-431D-9A7C-AEE924BC4741}" type="presParOf" srcId="{FDDD0F72-0EC2-4E02-B8A4-C2E3996AE9B3}" destId="{07E6742A-4D1B-4A62-8D57-317930979D54}" srcOrd="2" destOrd="0" presId="urn:microsoft.com/office/officeart/2005/8/layout/orgChart1"/>
    <dgm:cxn modelId="{9B02075E-68AB-4BA3-8C2D-F27676B0D77D}" type="presParOf" srcId="{19F8DC4D-6C3B-4582-9BE3-BB63D8507494}" destId="{9A25FBB4-6376-464A-9402-749CD04A8EC1}" srcOrd="2" destOrd="0" presId="urn:microsoft.com/office/officeart/2005/8/layout/orgChart1"/>
    <dgm:cxn modelId="{1910E327-A68D-4F1C-9D86-D8CC1D3DC7F8}" type="presParOf" srcId="{19F8DC4D-6C3B-4582-9BE3-BB63D8507494}" destId="{503812FC-ECF9-443F-880D-EBF6A79BA361}" srcOrd="3" destOrd="0" presId="urn:microsoft.com/office/officeart/2005/8/layout/orgChart1"/>
    <dgm:cxn modelId="{7FF283C8-6D61-434D-95CE-6E91FCAA98D3}" type="presParOf" srcId="{503812FC-ECF9-443F-880D-EBF6A79BA361}" destId="{50F88243-9179-4B29-9BA5-7BB0A1061D48}" srcOrd="0" destOrd="0" presId="urn:microsoft.com/office/officeart/2005/8/layout/orgChart1"/>
    <dgm:cxn modelId="{B5B5E320-E7AD-45A5-B79B-84A9987B7E4E}" type="presParOf" srcId="{50F88243-9179-4B29-9BA5-7BB0A1061D48}" destId="{1CABB279-8158-486D-8C40-E619F552666B}" srcOrd="0" destOrd="0" presId="urn:microsoft.com/office/officeart/2005/8/layout/orgChart1"/>
    <dgm:cxn modelId="{09B6B9E3-363C-461C-A12B-6C96A28F0492}" type="presParOf" srcId="{50F88243-9179-4B29-9BA5-7BB0A1061D48}" destId="{B3136180-2A23-4BDC-9EB3-7B79835066FC}" srcOrd="1" destOrd="0" presId="urn:microsoft.com/office/officeart/2005/8/layout/orgChart1"/>
    <dgm:cxn modelId="{0146A510-B8F6-498F-B19B-735511D76B39}" type="presParOf" srcId="{503812FC-ECF9-443F-880D-EBF6A79BA361}" destId="{8671A0DB-9CBE-4335-9816-59FBBFB79318}" srcOrd="1" destOrd="0" presId="urn:microsoft.com/office/officeart/2005/8/layout/orgChart1"/>
    <dgm:cxn modelId="{9409CBDA-35AA-48D3-BB7D-06FC12D94C74}" type="presParOf" srcId="{503812FC-ECF9-443F-880D-EBF6A79BA361}" destId="{39779737-9BEB-4119-9641-AF8FB35A1D4E}" srcOrd="2" destOrd="0" presId="urn:microsoft.com/office/officeart/2005/8/layout/orgChart1"/>
    <dgm:cxn modelId="{BED8BCA7-ED37-4CF2-AD23-D6A0131A29FA}" type="presParOf" srcId="{19F8DC4D-6C3B-4582-9BE3-BB63D8507494}" destId="{90CBB14C-8CB7-4810-BEEE-8F09AB6BE138}" srcOrd="4" destOrd="0" presId="urn:microsoft.com/office/officeart/2005/8/layout/orgChart1"/>
    <dgm:cxn modelId="{D89B5CD8-249C-4189-A8EE-42461D220C9C}" type="presParOf" srcId="{19F8DC4D-6C3B-4582-9BE3-BB63D8507494}" destId="{AD0BBBBC-C044-4CAE-8F12-54B9D6B90EB5}" srcOrd="5" destOrd="0" presId="urn:microsoft.com/office/officeart/2005/8/layout/orgChart1"/>
    <dgm:cxn modelId="{4CE15E78-F681-4D29-9E0B-3A65987EBFFA}" type="presParOf" srcId="{AD0BBBBC-C044-4CAE-8F12-54B9D6B90EB5}" destId="{B1755DDF-93FC-485A-8CE2-1978CBB0C1D4}" srcOrd="0" destOrd="0" presId="urn:microsoft.com/office/officeart/2005/8/layout/orgChart1"/>
    <dgm:cxn modelId="{4EC25B24-7673-48CC-81A9-7C9F944F27FD}" type="presParOf" srcId="{B1755DDF-93FC-485A-8CE2-1978CBB0C1D4}" destId="{CCA3319A-0A55-4E78-8768-A1368896BD01}" srcOrd="0" destOrd="0" presId="urn:microsoft.com/office/officeart/2005/8/layout/orgChart1"/>
    <dgm:cxn modelId="{96602ED1-4653-49EE-A59F-19C84DE4FA85}" type="presParOf" srcId="{B1755DDF-93FC-485A-8CE2-1978CBB0C1D4}" destId="{9696EAF5-530E-4252-9E60-3416F52DEA1F}" srcOrd="1" destOrd="0" presId="urn:microsoft.com/office/officeart/2005/8/layout/orgChart1"/>
    <dgm:cxn modelId="{64905430-F694-4B08-8C70-8F61E7E93956}" type="presParOf" srcId="{AD0BBBBC-C044-4CAE-8F12-54B9D6B90EB5}" destId="{FADA68D1-1ACA-451B-8606-D337403D1D36}" srcOrd="1" destOrd="0" presId="urn:microsoft.com/office/officeart/2005/8/layout/orgChart1"/>
    <dgm:cxn modelId="{E0ACBFBA-5805-488C-A0D9-63D07FDA9602}" type="presParOf" srcId="{AD0BBBBC-C044-4CAE-8F12-54B9D6B90EB5}" destId="{3AD35363-D772-4A7F-870E-860CFE8B07F1}" srcOrd="2" destOrd="0" presId="urn:microsoft.com/office/officeart/2005/8/layout/orgChart1"/>
    <dgm:cxn modelId="{D05756AA-8389-4CBF-9C79-024EB6038902}" type="presParOf" srcId="{ED3FE058-E1DF-4B01-8B8D-5A4614A02214}" destId="{38DE2E9A-38BF-47D8-BA7B-E27A3D3EA692}" srcOrd="1" destOrd="0" presId="urn:microsoft.com/office/officeart/2005/8/layout/orgChart1"/>
    <dgm:cxn modelId="{B21746CF-DBF5-453A-A613-5E9BEE0FCBC7}" type="presParOf" srcId="{38DE2E9A-38BF-47D8-BA7B-E27A3D3EA692}" destId="{8D4CCA2F-8865-4E2F-87F7-B9CF7089E577}" srcOrd="0" destOrd="0" presId="urn:microsoft.com/office/officeart/2005/8/layout/orgChart1"/>
    <dgm:cxn modelId="{AA5694BD-C74D-4299-8CB3-793AC220562B}" type="presParOf" srcId="{8D4CCA2F-8865-4E2F-87F7-B9CF7089E577}" destId="{DB68A9B4-7B84-4F18-AEC4-39ADE33E496A}" srcOrd="0" destOrd="0" presId="urn:microsoft.com/office/officeart/2005/8/layout/orgChart1"/>
    <dgm:cxn modelId="{E62386BA-251B-44B1-AAE0-D5180FBC17FB}" type="presParOf" srcId="{8D4CCA2F-8865-4E2F-87F7-B9CF7089E577}" destId="{C114FDF3-4A81-452D-B7F0-B9B0CEA8B575}" srcOrd="1" destOrd="0" presId="urn:microsoft.com/office/officeart/2005/8/layout/orgChart1"/>
    <dgm:cxn modelId="{332A15DC-D622-4E7B-9E04-2CD202F61272}" type="presParOf" srcId="{38DE2E9A-38BF-47D8-BA7B-E27A3D3EA692}" destId="{85230B3A-22F1-40C7-A301-70E3E20DA5A1}" srcOrd="1" destOrd="0" presId="urn:microsoft.com/office/officeart/2005/8/layout/orgChart1"/>
    <dgm:cxn modelId="{8C7E2BFF-8945-4F5D-8289-3B729018EE9C}" type="presParOf" srcId="{38DE2E9A-38BF-47D8-BA7B-E27A3D3EA692}" destId="{648D293E-04FB-41D8-83CE-F9682D83E053}"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487EE5-6A4D-4A3C-A3C0-B060B80A7969}">
      <dsp:nvSpPr>
        <dsp:cNvPr id="0" name=""/>
        <dsp:cNvSpPr/>
      </dsp:nvSpPr>
      <dsp:spPr>
        <a:xfrm>
          <a:off x="1315971" y="3690031"/>
          <a:ext cx="571273" cy="306039"/>
        </a:xfrm>
        <a:custGeom>
          <a:avLst/>
          <a:gdLst/>
          <a:ahLst/>
          <a:cxnLst/>
          <a:rect l="0" t="0" r="0" b="0"/>
          <a:pathLst>
            <a:path>
              <a:moveTo>
                <a:pt x="571273" y="0"/>
              </a:moveTo>
              <a:lnTo>
                <a:pt x="571273" y="306039"/>
              </a:lnTo>
              <a:lnTo>
                <a:pt x="0" y="306039"/>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203696-BA11-4A3E-A735-7DA10935EF6E}">
      <dsp:nvSpPr>
        <dsp:cNvPr id="0" name=""/>
        <dsp:cNvSpPr/>
      </dsp:nvSpPr>
      <dsp:spPr>
        <a:xfrm>
          <a:off x="3190056" y="723783"/>
          <a:ext cx="545670" cy="2604356"/>
        </a:xfrm>
        <a:custGeom>
          <a:avLst/>
          <a:gdLst/>
          <a:ahLst/>
          <a:cxnLst/>
          <a:rect l="0" t="0" r="0" b="0"/>
          <a:pathLst>
            <a:path>
              <a:moveTo>
                <a:pt x="545670" y="0"/>
              </a:moveTo>
              <a:lnTo>
                <a:pt x="545670" y="2604356"/>
              </a:lnTo>
              <a:lnTo>
                <a:pt x="0" y="2604356"/>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BEA0A1-07B0-4CB8-BD23-0904146F89F4}">
      <dsp:nvSpPr>
        <dsp:cNvPr id="0" name=""/>
        <dsp:cNvSpPr/>
      </dsp:nvSpPr>
      <dsp:spPr>
        <a:xfrm>
          <a:off x="1315971" y="2629358"/>
          <a:ext cx="527377" cy="196385"/>
        </a:xfrm>
        <a:custGeom>
          <a:avLst/>
          <a:gdLst/>
          <a:ahLst/>
          <a:cxnLst/>
          <a:rect l="0" t="0" r="0" b="0"/>
          <a:pathLst>
            <a:path>
              <a:moveTo>
                <a:pt x="527377" y="0"/>
              </a:moveTo>
              <a:lnTo>
                <a:pt x="527377" y="196385"/>
              </a:lnTo>
              <a:lnTo>
                <a:pt x="0" y="196385"/>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5AA9FA-1289-4B7D-B792-684987025719}">
      <dsp:nvSpPr>
        <dsp:cNvPr id="0" name=""/>
        <dsp:cNvSpPr/>
      </dsp:nvSpPr>
      <dsp:spPr>
        <a:xfrm>
          <a:off x="3146160" y="723783"/>
          <a:ext cx="589566" cy="1543683"/>
        </a:xfrm>
        <a:custGeom>
          <a:avLst/>
          <a:gdLst/>
          <a:ahLst/>
          <a:cxnLst/>
          <a:rect l="0" t="0" r="0" b="0"/>
          <a:pathLst>
            <a:path>
              <a:moveTo>
                <a:pt x="589566" y="0"/>
              </a:moveTo>
              <a:lnTo>
                <a:pt x="589566" y="1543683"/>
              </a:lnTo>
              <a:lnTo>
                <a:pt x="0" y="1543683"/>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6F0D42-7341-40E8-94AF-6FD333526F40}">
      <dsp:nvSpPr>
        <dsp:cNvPr id="0" name=""/>
        <dsp:cNvSpPr/>
      </dsp:nvSpPr>
      <dsp:spPr>
        <a:xfrm>
          <a:off x="3142665" y="723783"/>
          <a:ext cx="593061" cy="519042"/>
        </a:xfrm>
        <a:custGeom>
          <a:avLst/>
          <a:gdLst/>
          <a:ahLst/>
          <a:cxnLst/>
          <a:rect l="0" t="0" r="0" b="0"/>
          <a:pathLst>
            <a:path>
              <a:moveTo>
                <a:pt x="593061" y="0"/>
              </a:moveTo>
              <a:lnTo>
                <a:pt x="593061" y="519042"/>
              </a:lnTo>
              <a:lnTo>
                <a:pt x="0" y="519042"/>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C41227-D635-4283-8CFE-87D83E993301}">
      <dsp:nvSpPr>
        <dsp:cNvPr id="0" name=""/>
        <dsp:cNvSpPr/>
      </dsp:nvSpPr>
      <dsp:spPr>
        <a:xfrm>
          <a:off x="2432916" y="0"/>
          <a:ext cx="1447567" cy="723783"/>
        </a:xfrm>
        <a:prstGeom prst="rect">
          <a:avLst/>
        </a:prstGeom>
        <a:gradFill rotWithShape="0">
          <a:gsLst>
            <a:gs pos="0">
              <a:schemeClr val="accent1">
                <a:alpha val="80000"/>
                <a:hueOff val="0"/>
                <a:satOff val="0"/>
                <a:lumOff val="0"/>
                <a:alphaOff val="0"/>
                <a:tint val="50000"/>
                <a:satMod val="300000"/>
              </a:schemeClr>
            </a:gs>
            <a:gs pos="35000">
              <a:schemeClr val="accent1">
                <a:alpha val="80000"/>
                <a:hueOff val="0"/>
                <a:satOff val="0"/>
                <a:lumOff val="0"/>
                <a:alphaOff val="0"/>
                <a:tint val="37000"/>
                <a:satMod val="300000"/>
              </a:schemeClr>
            </a:gs>
            <a:gs pos="100000">
              <a:schemeClr val="accent1">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t>Нефтегазовые доходы</a:t>
          </a:r>
        </a:p>
      </dsp:txBody>
      <dsp:txXfrm>
        <a:off x="2432916" y="0"/>
        <a:ext cx="1447567" cy="723783"/>
      </dsp:txXfrm>
    </dsp:sp>
    <dsp:sp modelId="{D654ABED-C455-4D98-ADF2-6DF88499ABE0}">
      <dsp:nvSpPr>
        <dsp:cNvPr id="0" name=""/>
        <dsp:cNvSpPr/>
      </dsp:nvSpPr>
      <dsp:spPr>
        <a:xfrm>
          <a:off x="1695098" y="880934"/>
          <a:ext cx="1447567" cy="723783"/>
        </a:xfrm>
        <a:prstGeom prst="rect">
          <a:avLst/>
        </a:prstGeom>
        <a:gradFill rotWithShape="0">
          <a:gsLst>
            <a:gs pos="0">
              <a:schemeClr val="accent1">
                <a:alpha val="70000"/>
                <a:hueOff val="0"/>
                <a:satOff val="0"/>
                <a:lumOff val="0"/>
                <a:alphaOff val="0"/>
                <a:tint val="50000"/>
                <a:satMod val="300000"/>
              </a:schemeClr>
            </a:gs>
            <a:gs pos="35000">
              <a:schemeClr val="accent1">
                <a:alpha val="70000"/>
                <a:hueOff val="0"/>
                <a:satOff val="0"/>
                <a:lumOff val="0"/>
                <a:alphaOff val="0"/>
                <a:tint val="37000"/>
                <a:satMod val="300000"/>
              </a:schemeClr>
            </a:gs>
            <a:gs pos="100000">
              <a:schemeClr val="accent1">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t>Нефтегазовый трансферт </a:t>
          </a:r>
        </a:p>
        <a:p>
          <a:pPr lvl="0" algn="ctr" defTabSz="444500">
            <a:lnSpc>
              <a:spcPct val="90000"/>
            </a:lnSpc>
            <a:spcBef>
              <a:spcPct val="0"/>
            </a:spcBef>
            <a:spcAft>
              <a:spcPct val="35000"/>
            </a:spcAft>
          </a:pPr>
          <a:r>
            <a:rPr lang="ru-RU" sz="1000" b="0" kern="1200"/>
            <a:t>(3,7% ВВП)</a:t>
          </a:r>
        </a:p>
      </dsp:txBody>
      <dsp:txXfrm>
        <a:off x="1695098" y="880934"/>
        <a:ext cx="1447567" cy="723783"/>
      </dsp:txXfrm>
    </dsp:sp>
    <dsp:sp modelId="{5839FEDF-3860-40B7-A3BE-86188B5DEC29}">
      <dsp:nvSpPr>
        <dsp:cNvPr id="0" name=""/>
        <dsp:cNvSpPr/>
      </dsp:nvSpPr>
      <dsp:spPr>
        <a:xfrm>
          <a:off x="1698593" y="1905575"/>
          <a:ext cx="1447567" cy="723783"/>
        </a:xfrm>
        <a:prstGeom prst="rect">
          <a:avLst/>
        </a:prstGeom>
        <a:gradFill rotWithShape="0">
          <a:gsLst>
            <a:gs pos="0">
              <a:schemeClr val="accent1">
                <a:alpha val="70000"/>
                <a:hueOff val="0"/>
                <a:satOff val="0"/>
                <a:lumOff val="0"/>
                <a:alphaOff val="0"/>
                <a:tint val="50000"/>
                <a:satMod val="300000"/>
              </a:schemeClr>
            </a:gs>
            <a:gs pos="35000">
              <a:schemeClr val="accent1">
                <a:alpha val="70000"/>
                <a:hueOff val="0"/>
                <a:satOff val="0"/>
                <a:lumOff val="0"/>
                <a:alphaOff val="0"/>
                <a:tint val="37000"/>
                <a:satMod val="300000"/>
              </a:schemeClr>
            </a:gs>
            <a:gs pos="100000">
              <a:schemeClr val="accent1">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t>Резервный фонд</a:t>
          </a:r>
        </a:p>
        <a:p>
          <a:pPr lvl="0" algn="ctr" defTabSz="444500">
            <a:lnSpc>
              <a:spcPct val="90000"/>
            </a:lnSpc>
            <a:spcBef>
              <a:spcPct val="0"/>
            </a:spcBef>
            <a:spcAft>
              <a:spcPct val="35000"/>
            </a:spcAft>
          </a:pPr>
          <a:r>
            <a:rPr lang="ru-RU" sz="1000" b="0" kern="1200"/>
            <a:t>(до 10% ВВП)</a:t>
          </a:r>
        </a:p>
      </dsp:txBody>
      <dsp:txXfrm>
        <a:off x="1698593" y="1905575"/>
        <a:ext cx="1447567" cy="723783"/>
      </dsp:txXfrm>
    </dsp:sp>
    <dsp:sp modelId="{C96AA72B-F995-4C27-85C9-E580AD1AF429}">
      <dsp:nvSpPr>
        <dsp:cNvPr id="0" name=""/>
        <dsp:cNvSpPr/>
      </dsp:nvSpPr>
      <dsp:spPr>
        <a:xfrm>
          <a:off x="0" y="2496751"/>
          <a:ext cx="1315971" cy="657985"/>
        </a:xfrm>
        <a:prstGeom prst="rect">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t>Доходы от управления средствами фонда</a:t>
          </a:r>
        </a:p>
      </dsp:txBody>
      <dsp:txXfrm>
        <a:off x="0" y="2496751"/>
        <a:ext cx="1315971" cy="657985"/>
      </dsp:txXfrm>
    </dsp:sp>
    <dsp:sp modelId="{C16DFD01-3252-4091-A288-B992B5421C19}">
      <dsp:nvSpPr>
        <dsp:cNvPr id="0" name=""/>
        <dsp:cNvSpPr/>
      </dsp:nvSpPr>
      <dsp:spPr>
        <a:xfrm>
          <a:off x="1742489" y="2966248"/>
          <a:ext cx="1447567" cy="723783"/>
        </a:xfrm>
        <a:prstGeom prst="rect">
          <a:avLst/>
        </a:prstGeom>
        <a:gradFill rotWithShape="0">
          <a:gsLst>
            <a:gs pos="0">
              <a:schemeClr val="accent1">
                <a:alpha val="70000"/>
                <a:hueOff val="0"/>
                <a:satOff val="0"/>
                <a:lumOff val="0"/>
                <a:alphaOff val="0"/>
                <a:tint val="50000"/>
                <a:satMod val="300000"/>
              </a:schemeClr>
            </a:gs>
            <a:gs pos="35000">
              <a:schemeClr val="accent1">
                <a:alpha val="70000"/>
                <a:hueOff val="0"/>
                <a:satOff val="0"/>
                <a:lumOff val="0"/>
                <a:alphaOff val="0"/>
                <a:tint val="37000"/>
                <a:satMod val="300000"/>
              </a:schemeClr>
            </a:gs>
            <a:gs pos="100000">
              <a:schemeClr val="accent1">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t>Фонд национального благосостояния</a:t>
          </a:r>
        </a:p>
      </dsp:txBody>
      <dsp:txXfrm>
        <a:off x="1742489" y="2966248"/>
        <a:ext cx="1447567" cy="723783"/>
      </dsp:txXfrm>
    </dsp:sp>
    <dsp:sp modelId="{8CB551A8-02B2-4821-AA6A-07B1510718D5}">
      <dsp:nvSpPr>
        <dsp:cNvPr id="0" name=""/>
        <dsp:cNvSpPr/>
      </dsp:nvSpPr>
      <dsp:spPr>
        <a:xfrm>
          <a:off x="0" y="3667078"/>
          <a:ext cx="1315971" cy="657985"/>
        </a:xfrm>
        <a:prstGeom prst="rect">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a:t>Доходы от управления средствами фонда</a:t>
          </a:r>
        </a:p>
      </dsp:txBody>
      <dsp:txXfrm>
        <a:off x="0" y="3667078"/>
        <a:ext cx="1315971" cy="6579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CBB14C-8CB7-4810-BEEE-8F09AB6BE138}">
      <dsp:nvSpPr>
        <dsp:cNvPr id="0" name=""/>
        <dsp:cNvSpPr/>
      </dsp:nvSpPr>
      <dsp:spPr>
        <a:xfrm>
          <a:off x="3725772" y="1755465"/>
          <a:ext cx="418400" cy="2042827"/>
        </a:xfrm>
        <a:custGeom>
          <a:avLst/>
          <a:gdLst/>
          <a:ahLst/>
          <a:cxnLst/>
          <a:rect l="0" t="0" r="0" b="0"/>
          <a:pathLst>
            <a:path>
              <a:moveTo>
                <a:pt x="0" y="0"/>
              </a:moveTo>
              <a:lnTo>
                <a:pt x="0" y="2042827"/>
              </a:lnTo>
              <a:lnTo>
                <a:pt x="418400" y="2042827"/>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25FBB4-6376-464A-9402-749CD04A8EC1}">
      <dsp:nvSpPr>
        <dsp:cNvPr id="0" name=""/>
        <dsp:cNvSpPr/>
      </dsp:nvSpPr>
      <dsp:spPr>
        <a:xfrm>
          <a:off x="3725772" y="1755465"/>
          <a:ext cx="418400" cy="1210760"/>
        </a:xfrm>
        <a:custGeom>
          <a:avLst/>
          <a:gdLst/>
          <a:ahLst/>
          <a:cxnLst/>
          <a:rect l="0" t="0" r="0" b="0"/>
          <a:pathLst>
            <a:path>
              <a:moveTo>
                <a:pt x="0" y="0"/>
              </a:moveTo>
              <a:lnTo>
                <a:pt x="0" y="1210760"/>
              </a:lnTo>
              <a:lnTo>
                <a:pt x="418400" y="1210760"/>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4516C3-C77B-47B2-8CA0-5E3BD7C5D7D3}">
      <dsp:nvSpPr>
        <dsp:cNvPr id="0" name=""/>
        <dsp:cNvSpPr/>
      </dsp:nvSpPr>
      <dsp:spPr>
        <a:xfrm>
          <a:off x="3484778" y="1755465"/>
          <a:ext cx="240994" cy="738208"/>
        </a:xfrm>
        <a:custGeom>
          <a:avLst/>
          <a:gdLst/>
          <a:ahLst/>
          <a:cxnLst/>
          <a:rect l="0" t="0" r="0" b="0"/>
          <a:pathLst>
            <a:path>
              <a:moveTo>
                <a:pt x="240994" y="0"/>
              </a:moveTo>
              <a:lnTo>
                <a:pt x="240994" y="738208"/>
              </a:lnTo>
              <a:lnTo>
                <a:pt x="0" y="738208"/>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DE7580-9A64-484C-B1FE-E598F27B4008}">
      <dsp:nvSpPr>
        <dsp:cNvPr id="0" name=""/>
        <dsp:cNvSpPr/>
      </dsp:nvSpPr>
      <dsp:spPr>
        <a:xfrm>
          <a:off x="2174700" y="671113"/>
          <a:ext cx="879958" cy="748795"/>
        </a:xfrm>
        <a:custGeom>
          <a:avLst/>
          <a:gdLst/>
          <a:ahLst/>
          <a:cxnLst/>
          <a:rect l="0" t="0" r="0" b="0"/>
          <a:pathLst>
            <a:path>
              <a:moveTo>
                <a:pt x="0" y="0"/>
              </a:moveTo>
              <a:lnTo>
                <a:pt x="0" y="748795"/>
              </a:lnTo>
              <a:lnTo>
                <a:pt x="879958" y="748795"/>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C487B6-8243-41FE-A514-80543A270B5D}">
      <dsp:nvSpPr>
        <dsp:cNvPr id="0" name=""/>
        <dsp:cNvSpPr/>
      </dsp:nvSpPr>
      <dsp:spPr>
        <a:xfrm>
          <a:off x="1342226" y="671113"/>
          <a:ext cx="832473" cy="748795"/>
        </a:xfrm>
        <a:custGeom>
          <a:avLst/>
          <a:gdLst/>
          <a:ahLst/>
          <a:cxnLst/>
          <a:rect l="0" t="0" r="0" b="0"/>
          <a:pathLst>
            <a:path>
              <a:moveTo>
                <a:pt x="832473" y="0"/>
              </a:moveTo>
              <a:lnTo>
                <a:pt x="832473" y="748795"/>
              </a:lnTo>
              <a:lnTo>
                <a:pt x="0" y="748795"/>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248997-5AE4-41B6-934F-CB7AB19B5D31}">
      <dsp:nvSpPr>
        <dsp:cNvPr id="0" name=""/>
        <dsp:cNvSpPr/>
      </dsp:nvSpPr>
      <dsp:spPr>
        <a:xfrm>
          <a:off x="1503587" y="0"/>
          <a:ext cx="1342226" cy="671113"/>
        </a:xfrm>
        <a:prstGeom prst="rect">
          <a:avLst/>
        </a:prstGeom>
        <a:gradFill rotWithShape="0">
          <a:gsLst>
            <a:gs pos="0">
              <a:schemeClr val="accent1">
                <a:alpha val="80000"/>
                <a:hueOff val="0"/>
                <a:satOff val="0"/>
                <a:lumOff val="0"/>
                <a:alphaOff val="0"/>
                <a:tint val="50000"/>
                <a:satMod val="300000"/>
              </a:schemeClr>
            </a:gs>
            <a:gs pos="35000">
              <a:schemeClr val="accent1">
                <a:alpha val="80000"/>
                <a:hueOff val="0"/>
                <a:satOff val="0"/>
                <a:lumOff val="0"/>
                <a:alphaOff val="0"/>
                <a:tint val="37000"/>
                <a:satMod val="300000"/>
              </a:schemeClr>
            </a:gs>
            <a:gs pos="100000">
              <a:schemeClr val="accent1">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Нефтегазовые доходы</a:t>
          </a:r>
        </a:p>
      </dsp:txBody>
      <dsp:txXfrm>
        <a:off x="1503587" y="0"/>
        <a:ext cx="1342226" cy="671113"/>
      </dsp:txXfrm>
    </dsp:sp>
    <dsp:sp modelId="{EF8B0824-4F8F-48F3-A093-B50F347C32C0}">
      <dsp:nvSpPr>
        <dsp:cNvPr id="0" name=""/>
        <dsp:cNvSpPr/>
      </dsp:nvSpPr>
      <dsp:spPr>
        <a:xfrm>
          <a:off x="0" y="1084352"/>
          <a:ext cx="1342226" cy="671113"/>
        </a:xfrm>
        <a:prstGeom prst="rect">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Объем нефтегаовых доходов, расчитанный при базовой цене на нефть</a:t>
          </a:r>
        </a:p>
      </dsp:txBody>
      <dsp:txXfrm>
        <a:off x="0" y="1084352"/>
        <a:ext cx="1342226" cy="671113"/>
      </dsp:txXfrm>
    </dsp:sp>
    <dsp:sp modelId="{B507C457-84F3-4CA2-9F55-2E2C7090DE35}">
      <dsp:nvSpPr>
        <dsp:cNvPr id="0" name=""/>
        <dsp:cNvSpPr/>
      </dsp:nvSpPr>
      <dsp:spPr>
        <a:xfrm>
          <a:off x="3054659" y="1084352"/>
          <a:ext cx="1342226" cy="671113"/>
        </a:xfrm>
        <a:prstGeom prst="rect">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Объем нефтегазовых доходов при цене на нефть выше базовой</a:t>
          </a:r>
        </a:p>
      </dsp:txBody>
      <dsp:txXfrm>
        <a:off x="3054659" y="1084352"/>
        <a:ext cx="1342226" cy="671113"/>
      </dsp:txXfrm>
    </dsp:sp>
    <dsp:sp modelId="{42A5543D-DABE-4B48-A17C-0DD077E94426}">
      <dsp:nvSpPr>
        <dsp:cNvPr id="0" name=""/>
        <dsp:cNvSpPr/>
      </dsp:nvSpPr>
      <dsp:spPr>
        <a:xfrm>
          <a:off x="2142551" y="2158117"/>
          <a:ext cx="1342226" cy="671113"/>
        </a:xfrm>
        <a:prstGeom prst="rect">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Резервный фонд </a:t>
          </a:r>
        </a:p>
        <a:p>
          <a:pPr lvl="0" algn="ctr" defTabSz="444500">
            <a:lnSpc>
              <a:spcPct val="90000"/>
            </a:lnSpc>
            <a:spcBef>
              <a:spcPct val="0"/>
            </a:spcBef>
            <a:spcAft>
              <a:spcPct val="35000"/>
            </a:spcAft>
          </a:pPr>
          <a:r>
            <a:rPr lang="ru-RU" sz="1000" kern="1200"/>
            <a:t>(до 7% ВВП)</a:t>
          </a:r>
        </a:p>
      </dsp:txBody>
      <dsp:txXfrm>
        <a:off x="2142551" y="2158117"/>
        <a:ext cx="1342226" cy="671113"/>
      </dsp:txXfrm>
    </dsp:sp>
    <dsp:sp modelId="{1CABB279-8158-486D-8C40-E619F552666B}">
      <dsp:nvSpPr>
        <dsp:cNvPr id="0" name=""/>
        <dsp:cNvSpPr/>
      </dsp:nvSpPr>
      <dsp:spPr>
        <a:xfrm>
          <a:off x="4144173" y="2630669"/>
          <a:ext cx="1342226" cy="671113"/>
        </a:xfrm>
        <a:prstGeom prst="rect">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Фонд национального благосостояние (50%)</a:t>
          </a:r>
        </a:p>
      </dsp:txBody>
      <dsp:txXfrm>
        <a:off x="4144173" y="2630669"/>
        <a:ext cx="1342226" cy="671113"/>
      </dsp:txXfrm>
    </dsp:sp>
    <dsp:sp modelId="{CCA3319A-0A55-4E78-8768-A1368896BD01}">
      <dsp:nvSpPr>
        <dsp:cNvPr id="0" name=""/>
        <dsp:cNvSpPr/>
      </dsp:nvSpPr>
      <dsp:spPr>
        <a:xfrm>
          <a:off x="4144173" y="3462736"/>
          <a:ext cx="1342226" cy="671113"/>
        </a:xfrm>
        <a:prstGeom prst="rect">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Инвестиции в инфраструктуру и иные приоритетные проекты (50%)</a:t>
          </a:r>
        </a:p>
      </dsp:txBody>
      <dsp:txXfrm>
        <a:off x="4144173" y="3462736"/>
        <a:ext cx="1342226" cy="671113"/>
      </dsp:txXfrm>
    </dsp:sp>
    <dsp:sp modelId="{DB68A9B4-7B84-4F18-AEC4-39ADE33E496A}">
      <dsp:nvSpPr>
        <dsp:cNvPr id="0" name=""/>
        <dsp:cNvSpPr/>
      </dsp:nvSpPr>
      <dsp:spPr>
        <a:xfrm>
          <a:off x="7" y="2122148"/>
          <a:ext cx="1342226" cy="671113"/>
        </a:xfrm>
        <a:prstGeom prst="rect">
          <a:avLst/>
        </a:prstGeom>
        <a:gradFill rotWithShape="0">
          <a:gsLst>
            <a:gs pos="0">
              <a:schemeClr val="accent1">
                <a:alpha val="80000"/>
                <a:hueOff val="0"/>
                <a:satOff val="0"/>
                <a:lumOff val="0"/>
                <a:alphaOff val="0"/>
                <a:tint val="50000"/>
                <a:satMod val="300000"/>
              </a:schemeClr>
            </a:gs>
            <a:gs pos="35000">
              <a:schemeClr val="accent1">
                <a:alpha val="80000"/>
                <a:hueOff val="0"/>
                <a:satOff val="0"/>
                <a:lumOff val="0"/>
                <a:alphaOff val="0"/>
                <a:tint val="37000"/>
                <a:satMod val="300000"/>
              </a:schemeClr>
            </a:gs>
            <a:gs pos="100000">
              <a:schemeClr val="accent1">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Федеральный бюджет</a:t>
          </a:r>
        </a:p>
      </dsp:txBody>
      <dsp:txXfrm>
        <a:off x="7" y="2122148"/>
        <a:ext cx="1342226" cy="6711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683BF-4D2D-4080-9472-123913EB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5959</TotalTime>
  <Pages>1</Pages>
  <Words>16613</Words>
  <Characters>94696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80</cp:revision>
  <cp:lastPrinted>2013-05-13T04:43:00Z</cp:lastPrinted>
  <dcterms:created xsi:type="dcterms:W3CDTF">2013-03-18T10:12:00Z</dcterms:created>
  <dcterms:modified xsi:type="dcterms:W3CDTF">2013-05-26T17:41:00Z</dcterms:modified>
</cp:coreProperties>
</file>